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C219" w14:textId="77777777" w:rsidR="003B25CD" w:rsidRPr="00AC7F03" w:rsidRDefault="003B25CD" w:rsidP="003B25CD">
      <w:pPr>
        <w:widowControl w:val="0"/>
        <w:autoSpaceDE w:val="0"/>
        <w:autoSpaceDN w:val="0"/>
        <w:adjustRightInd w:val="0"/>
        <w:spacing w:after="0"/>
        <w:jc w:val="center"/>
        <w:rPr>
          <w:rFonts w:asciiTheme="minorHAnsi" w:hAnsiTheme="minorHAnsi" w:cstheme="minorHAnsi"/>
          <w:b/>
          <w:sz w:val="22"/>
          <w:szCs w:val="22"/>
        </w:rPr>
      </w:pPr>
      <w:r w:rsidRPr="00AC7F03">
        <w:rPr>
          <w:rFonts w:asciiTheme="minorHAnsi" w:hAnsiTheme="minorHAnsi" w:cstheme="minorHAnsi"/>
          <w:b/>
          <w:sz w:val="22"/>
          <w:szCs w:val="22"/>
        </w:rPr>
        <w:t>Povzetek operacije 4 JP LAS Posavje ESPR</w:t>
      </w:r>
    </w:p>
    <w:p w14:paraId="73371A56" w14:textId="446A142D" w:rsidR="003B25CD" w:rsidRPr="00AC7F03" w:rsidRDefault="00BD7DA4" w:rsidP="003B25CD">
      <w:pPr>
        <w:spacing w:after="0" w:line="240" w:lineRule="auto"/>
        <w:jc w:val="center"/>
        <w:rPr>
          <w:rFonts w:asciiTheme="minorHAnsi" w:eastAsia="Times New Roman" w:hAnsiTheme="minorHAnsi" w:cstheme="minorHAnsi"/>
          <w:b/>
          <w:sz w:val="22"/>
          <w:szCs w:val="22"/>
          <w:lang w:eastAsia="sl-SI"/>
        </w:rPr>
      </w:pPr>
      <w:r>
        <w:rPr>
          <w:rFonts w:asciiTheme="minorHAnsi" w:eastAsia="Times New Roman" w:hAnsiTheme="minorHAnsi" w:cstheme="minorHAnsi"/>
          <w:b/>
          <w:sz w:val="22"/>
          <w:szCs w:val="22"/>
          <w:lang w:eastAsia="sl-SI"/>
        </w:rPr>
        <w:t>PO-SAVSKI REČNI TURIZEM</w:t>
      </w:r>
    </w:p>
    <w:p w14:paraId="23FA4C9B" w14:textId="77777777" w:rsidR="003B25CD" w:rsidRPr="00AC7F03" w:rsidRDefault="003B25CD" w:rsidP="003B25CD">
      <w:pPr>
        <w:pStyle w:val="Odstavekseznama"/>
        <w:numPr>
          <w:ilvl w:val="0"/>
          <w:numId w:val="1"/>
        </w:numPr>
        <w:spacing w:after="0" w:line="240" w:lineRule="auto"/>
        <w:jc w:val="both"/>
        <w:rPr>
          <w:rFonts w:asciiTheme="minorHAnsi" w:eastAsia="Times New Roman" w:hAnsiTheme="minorHAnsi" w:cstheme="minorHAnsi"/>
          <w:b/>
          <w:bCs/>
          <w:color w:val="000000"/>
          <w:sz w:val="22"/>
          <w:szCs w:val="22"/>
          <w:lang w:eastAsia="sl-SI"/>
        </w:rPr>
      </w:pPr>
      <w:r w:rsidRPr="00AC7F03">
        <w:rPr>
          <w:rFonts w:asciiTheme="minorHAnsi" w:eastAsia="Times New Roman" w:hAnsiTheme="minorHAnsi" w:cstheme="minorHAnsi"/>
          <w:b/>
          <w:bCs/>
          <w:color w:val="000000"/>
          <w:sz w:val="22"/>
          <w:szCs w:val="22"/>
          <w:lang w:eastAsia="sl-SI"/>
        </w:rPr>
        <w:t>Povzetek operacije</w:t>
      </w:r>
    </w:p>
    <w:p w14:paraId="5459976C" w14:textId="77777777" w:rsidR="003B25CD" w:rsidRPr="00AC7F03" w:rsidRDefault="003B25CD" w:rsidP="003B25CD">
      <w:pPr>
        <w:pStyle w:val="Odstavekseznama"/>
        <w:spacing w:after="0" w:line="240" w:lineRule="auto"/>
        <w:jc w:val="both"/>
        <w:rPr>
          <w:rFonts w:asciiTheme="minorHAnsi" w:eastAsia="Times New Roman" w:hAnsiTheme="minorHAnsi" w:cstheme="minorHAnsi"/>
          <w:b/>
          <w:bCs/>
          <w:color w:val="000000"/>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144"/>
        <w:gridCol w:w="2404"/>
      </w:tblGrid>
      <w:tr w:rsidR="00CE10AD" w:rsidRPr="00AC7F03" w14:paraId="2FD6C7F4" w14:textId="77777777" w:rsidTr="009F63BF">
        <w:tc>
          <w:tcPr>
            <w:tcW w:w="3514" w:type="dxa"/>
            <w:shd w:val="clear" w:color="auto" w:fill="D9D9D9" w:themeFill="background1" w:themeFillShade="D9"/>
          </w:tcPr>
          <w:p w14:paraId="0C12DE28"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Zaporedna št. vloge</w:t>
            </w:r>
          </w:p>
        </w:tc>
        <w:tc>
          <w:tcPr>
            <w:tcW w:w="5548" w:type="dxa"/>
            <w:gridSpan w:val="2"/>
          </w:tcPr>
          <w:p w14:paraId="4AE168CA"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4/ESPR</w:t>
            </w:r>
          </w:p>
          <w:p w14:paraId="447DF96E"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p>
        </w:tc>
      </w:tr>
      <w:tr w:rsidR="00CE10AD" w:rsidRPr="00AC7F03" w14:paraId="1688630B" w14:textId="77777777" w:rsidTr="009F63BF">
        <w:tc>
          <w:tcPr>
            <w:tcW w:w="3514" w:type="dxa"/>
            <w:shd w:val="clear" w:color="auto" w:fill="D9D9D9" w:themeFill="background1" w:themeFillShade="D9"/>
          </w:tcPr>
          <w:p w14:paraId="5DC1B10F"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Tematsko področje</w:t>
            </w:r>
          </w:p>
          <w:p w14:paraId="6AB268FC"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p>
        </w:tc>
        <w:tc>
          <w:tcPr>
            <w:tcW w:w="5548" w:type="dxa"/>
            <w:gridSpan w:val="2"/>
          </w:tcPr>
          <w:p w14:paraId="597271E6"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USTVARJANJE DELOVNIH MEST</w:t>
            </w:r>
          </w:p>
        </w:tc>
      </w:tr>
      <w:tr w:rsidR="00CE10AD" w:rsidRPr="00AC7F03" w14:paraId="75B82B08" w14:textId="77777777" w:rsidTr="009F63BF">
        <w:tc>
          <w:tcPr>
            <w:tcW w:w="3514" w:type="dxa"/>
            <w:shd w:val="clear" w:color="auto" w:fill="D9D9D9" w:themeFill="background1" w:themeFillShade="D9"/>
          </w:tcPr>
          <w:p w14:paraId="094C5259"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Ukrep</w:t>
            </w:r>
          </w:p>
        </w:tc>
        <w:tc>
          <w:tcPr>
            <w:tcW w:w="5548" w:type="dxa"/>
            <w:gridSpan w:val="2"/>
          </w:tcPr>
          <w:p w14:paraId="4FFFE065"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U1: Podjetniške ideje za nova delovna mesta</w:t>
            </w:r>
          </w:p>
          <w:p w14:paraId="26506825"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p>
        </w:tc>
      </w:tr>
      <w:tr w:rsidR="00CE10AD" w:rsidRPr="00AC7F03" w14:paraId="1C10016A" w14:textId="77777777" w:rsidTr="009F63BF">
        <w:tc>
          <w:tcPr>
            <w:tcW w:w="3514" w:type="dxa"/>
            <w:shd w:val="clear" w:color="auto" w:fill="D9D9D9" w:themeFill="background1" w:themeFillShade="D9"/>
          </w:tcPr>
          <w:p w14:paraId="3557B8B5"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Akronim operacije</w:t>
            </w:r>
          </w:p>
        </w:tc>
        <w:tc>
          <w:tcPr>
            <w:tcW w:w="5548" w:type="dxa"/>
            <w:gridSpan w:val="2"/>
          </w:tcPr>
          <w:p w14:paraId="0155D9B0"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PORT</w:t>
            </w:r>
          </w:p>
          <w:p w14:paraId="558CF7EC"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p>
        </w:tc>
      </w:tr>
      <w:tr w:rsidR="00CE10AD" w:rsidRPr="00AC7F03" w14:paraId="70D4FFCB" w14:textId="77777777" w:rsidTr="009F63BF">
        <w:tc>
          <w:tcPr>
            <w:tcW w:w="3514" w:type="dxa"/>
            <w:shd w:val="clear" w:color="auto" w:fill="D9D9D9" w:themeFill="background1" w:themeFillShade="D9"/>
          </w:tcPr>
          <w:p w14:paraId="2D12F4EF"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Naziv operacije</w:t>
            </w:r>
          </w:p>
          <w:p w14:paraId="4B4B3BDB"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p>
        </w:tc>
        <w:tc>
          <w:tcPr>
            <w:tcW w:w="5548" w:type="dxa"/>
            <w:gridSpan w:val="2"/>
          </w:tcPr>
          <w:p w14:paraId="204421E5"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Po-Savski rečni turizem</w:t>
            </w:r>
          </w:p>
        </w:tc>
      </w:tr>
      <w:tr w:rsidR="00646549" w:rsidRPr="00AC7F03" w14:paraId="4D57D9F8" w14:textId="25C59234" w:rsidTr="009C25FE">
        <w:tc>
          <w:tcPr>
            <w:tcW w:w="3514" w:type="dxa"/>
            <w:shd w:val="clear" w:color="auto" w:fill="D9D9D9" w:themeFill="background1" w:themeFillShade="D9"/>
          </w:tcPr>
          <w:p w14:paraId="3665F207" w14:textId="77777777" w:rsidR="00646549" w:rsidRPr="00AC7F03" w:rsidRDefault="00646549"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Naziv vlagatelja</w:t>
            </w:r>
          </w:p>
          <w:p w14:paraId="0002C3F3" w14:textId="77777777" w:rsidR="00646549" w:rsidRPr="00AC7F03" w:rsidRDefault="00646549" w:rsidP="009F63BF">
            <w:pPr>
              <w:spacing w:after="0" w:line="240" w:lineRule="auto"/>
              <w:jc w:val="both"/>
              <w:rPr>
                <w:rFonts w:asciiTheme="minorHAnsi" w:eastAsia="Times New Roman" w:hAnsiTheme="minorHAnsi" w:cstheme="minorHAnsi"/>
                <w:b/>
                <w:bCs/>
                <w:sz w:val="22"/>
                <w:szCs w:val="22"/>
                <w:lang w:eastAsia="sl-SI"/>
              </w:rPr>
            </w:pPr>
          </w:p>
        </w:tc>
        <w:tc>
          <w:tcPr>
            <w:tcW w:w="3144" w:type="dxa"/>
          </w:tcPr>
          <w:p w14:paraId="0523E6BF" w14:textId="77777777" w:rsidR="00646549" w:rsidRPr="00AC7F03" w:rsidRDefault="00646549"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Občina Radeče</w:t>
            </w:r>
          </w:p>
        </w:tc>
        <w:tc>
          <w:tcPr>
            <w:tcW w:w="2404" w:type="dxa"/>
          </w:tcPr>
          <w:p w14:paraId="73481C11" w14:textId="58FA172E" w:rsidR="005D6B8B" w:rsidRPr="009C25FE" w:rsidRDefault="005D6B8B" w:rsidP="005D6B8B">
            <w:pPr>
              <w:spacing w:after="0" w:line="240" w:lineRule="auto"/>
              <w:jc w:val="both"/>
              <w:rPr>
                <w:rFonts w:asciiTheme="minorHAnsi" w:hAnsiTheme="minorHAnsi" w:cstheme="minorHAnsi"/>
                <w:b/>
                <w:bCs/>
                <w:sz w:val="22"/>
                <w:szCs w:val="22"/>
              </w:rPr>
            </w:pPr>
            <w:r w:rsidRPr="009C25FE">
              <w:rPr>
                <w:rFonts w:asciiTheme="minorHAnsi" w:hAnsiTheme="minorHAnsi" w:cstheme="minorHAnsi"/>
                <w:b/>
                <w:bCs/>
                <w:sz w:val="22"/>
                <w:szCs w:val="22"/>
              </w:rPr>
              <w:t>101.187,63</w:t>
            </w:r>
            <w:r w:rsidRPr="009C25FE">
              <w:rPr>
                <w:rFonts w:asciiTheme="minorHAnsi" w:hAnsiTheme="minorHAnsi" w:cstheme="minorHAnsi"/>
                <w:b/>
                <w:bCs/>
                <w:sz w:val="22"/>
                <w:szCs w:val="22"/>
              </w:rPr>
              <w:t xml:space="preserve"> €</w:t>
            </w:r>
          </w:p>
          <w:p w14:paraId="2786958E" w14:textId="77777777" w:rsidR="00646549" w:rsidRPr="00AC7F03" w:rsidRDefault="00646549" w:rsidP="00646549">
            <w:pPr>
              <w:spacing w:after="0" w:line="240" w:lineRule="auto"/>
              <w:jc w:val="both"/>
              <w:rPr>
                <w:rFonts w:asciiTheme="minorHAnsi" w:eastAsia="Times New Roman" w:hAnsiTheme="minorHAnsi" w:cstheme="minorHAnsi"/>
                <w:b/>
                <w:sz w:val="22"/>
                <w:szCs w:val="22"/>
                <w:lang w:eastAsia="sl-SI"/>
              </w:rPr>
            </w:pPr>
          </w:p>
        </w:tc>
      </w:tr>
      <w:tr w:rsidR="00646549" w:rsidRPr="00AC7F03" w14:paraId="0531F9C4" w14:textId="0E820E67" w:rsidTr="009C25FE">
        <w:tc>
          <w:tcPr>
            <w:tcW w:w="3514" w:type="dxa"/>
            <w:shd w:val="clear" w:color="auto" w:fill="D9D9D9" w:themeFill="background1" w:themeFillShade="D9"/>
          </w:tcPr>
          <w:p w14:paraId="3E51E9B0" w14:textId="77777777" w:rsidR="00646549" w:rsidRPr="00AC7F03" w:rsidRDefault="00646549"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Naziv partnerjev</w:t>
            </w:r>
          </w:p>
          <w:p w14:paraId="677EE990" w14:textId="77777777" w:rsidR="00646549" w:rsidRPr="00AC7F03" w:rsidRDefault="00646549" w:rsidP="009F63BF">
            <w:pPr>
              <w:spacing w:after="0" w:line="240" w:lineRule="auto"/>
              <w:jc w:val="both"/>
              <w:rPr>
                <w:rFonts w:asciiTheme="minorHAnsi" w:eastAsia="Times New Roman" w:hAnsiTheme="minorHAnsi" w:cstheme="minorHAnsi"/>
                <w:b/>
                <w:bCs/>
                <w:sz w:val="22"/>
                <w:szCs w:val="22"/>
                <w:lang w:eastAsia="sl-SI"/>
              </w:rPr>
            </w:pPr>
          </w:p>
        </w:tc>
        <w:tc>
          <w:tcPr>
            <w:tcW w:w="3144" w:type="dxa"/>
          </w:tcPr>
          <w:p w14:paraId="0AD33758" w14:textId="77777777" w:rsidR="00646549" w:rsidRPr="00AC7F03" w:rsidRDefault="00646549"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JZ KTRC Radeče</w:t>
            </w:r>
          </w:p>
          <w:p w14:paraId="63FEF260" w14:textId="77777777" w:rsidR="00646549" w:rsidRPr="00AC7F03" w:rsidRDefault="00646549"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Ribiška družina Radeče</w:t>
            </w:r>
          </w:p>
          <w:p w14:paraId="46A52AAF" w14:textId="77777777" w:rsidR="00646549" w:rsidRPr="00AC7F03" w:rsidRDefault="00646549"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Hortikulturno društvo Radeče</w:t>
            </w:r>
          </w:p>
          <w:p w14:paraId="4963654C" w14:textId="77777777" w:rsidR="00646549" w:rsidRPr="00AC7F03" w:rsidRDefault="00646549"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Posavski muzej Brežice</w:t>
            </w:r>
          </w:p>
        </w:tc>
        <w:tc>
          <w:tcPr>
            <w:tcW w:w="2404" w:type="dxa"/>
          </w:tcPr>
          <w:p w14:paraId="7A05B260" w14:textId="3BE4961E" w:rsidR="00646549" w:rsidRPr="009C25FE" w:rsidRDefault="000C5426" w:rsidP="009C25FE">
            <w:pPr>
              <w:pStyle w:val="Brezrazmikov"/>
              <w:rPr>
                <w:rFonts w:asciiTheme="minorHAnsi" w:hAnsiTheme="minorHAnsi" w:cstheme="minorHAnsi"/>
                <w:b/>
                <w:bCs/>
                <w:sz w:val="22"/>
                <w:szCs w:val="22"/>
                <w:lang w:eastAsia="sl-SI"/>
              </w:rPr>
            </w:pPr>
            <w:r w:rsidRPr="009C25FE">
              <w:rPr>
                <w:rFonts w:asciiTheme="minorHAnsi" w:hAnsiTheme="minorHAnsi" w:cstheme="minorHAnsi"/>
                <w:b/>
                <w:bCs/>
                <w:sz w:val="22"/>
                <w:szCs w:val="22"/>
                <w:lang w:eastAsia="sl-SI"/>
              </w:rPr>
              <w:t>24.106,12</w:t>
            </w:r>
            <w:r w:rsidRPr="009C25FE">
              <w:rPr>
                <w:rFonts w:asciiTheme="minorHAnsi" w:hAnsiTheme="minorHAnsi" w:cstheme="minorHAnsi"/>
                <w:b/>
                <w:bCs/>
                <w:sz w:val="22"/>
                <w:szCs w:val="22"/>
                <w:lang w:eastAsia="sl-SI"/>
              </w:rPr>
              <w:t xml:space="preserve"> €</w:t>
            </w:r>
          </w:p>
          <w:p w14:paraId="4B5FCA73" w14:textId="663F12CA" w:rsidR="000C5426" w:rsidRPr="009C25FE" w:rsidRDefault="000C5426" w:rsidP="009C25FE">
            <w:pPr>
              <w:pStyle w:val="Brezrazmikov"/>
              <w:rPr>
                <w:rFonts w:asciiTheme="minorHAnsi" w:hAnsiTheme="minorHAnsi" w:cstheme="minorHAnsi"/>
                <w:b/>
                <w:bCs/>
                <w:sz w:val="22"/>
                <w:szCs w:val="22"/>
                <w:lang w:eastAsia="sl-SI"/>
              </w:rPr>
            </w:pPr>
            <w:r w:rsidRPr="009C25FE">
              <w:rPr>
                <w:rFonts w:asciiTheme="minorHAnsi" w:hAnsiTheme="minorHAnsi" w:cstheme="minorHAnsi"/>
                <w:b/>
                <w:bCs/>
                <w:sz w:val="22"/>
                <w:szCs w:val="22"/>
                <w:lang w:eastAsia="sl-SI"/>
              </w:rPr>
              <w:t>3.400,00</w:t>
            </w:r>
            <w:r w:rsidRPr="009C25FE">
              <w:rPr>
                <w:rFonts w:asciiTheme="minorHAnsi" w:hAnsiTheme="minorHAnsi" w:cstheme="minorHAnsi"/>
                <w:b/>
                <w:bCs/>
                <w:sz w:val="22"/>
                <w:szCs w:val="22"/>
                <w:lang w:eastAsia="sl-SI"/>
              </w:rPr>
              <w:t xml:space="preserve"> €</w:t>
            </w:r>
          </w:p>
          <w:p w14:paraId="1CC0CA7E" w14:textId="529C74C3" w:rsidR="000C5426" w:rsidRPr="009C25FE" w:rsidRDefault="009C25FE" w:rsidP="009C25FE">
            <w:pPr>
              <w:pStyle w:val="Brezrazmikov"/>
              <w:rPr>
                <w:rFonts w:asciiTheme="minorHAnsi" w:hAnsiTheme="minorHAnsi" w:cstheme="minorHAnsi"/>
                <w:b/>
                <w:bCs/>
                <w:sz w:val="22"/>
                <w:szCs w:val="22"/>
                <w:lang w:eastAsia="sl-SI"/>
              </w:rPr>
            </w:pPr>
            <w:r w:rsidRPr="009C25FE">
              <w:rPr>
                <w:rFonts w:asciiTheme="minorHAnsi" w:hAnsiTheme="minorHAnsi" w:cstheme="minorHAnsi"/>
                <w:b/>
                <w:bCs/>
                <w:sz w:val="22"/>
                <w:szCs w:val="22"/>
                <w:lang w:eastAsia="sl-SI"/>
              </w:rPr>
              <w:t>1.912,50</w:t>
            </w:r>
            <w:r w:rsidRPr="009C25FE">
              <w:rPr>
                <w:rFonts w:asciiTheme="minorHAnsi" w:hAnsiTheme="minorHAnsi" w:cstheme="minorHAnsi"/>
                <w:b/>
                <w:bCs/>
                <w:sz w:val="22"/>
                <w:szCs w:val="22"/>
                <w:lang w:eastAsia="sl-SI"/>
              </w:rPr>
              <w:t xml:space="preserve"> €</w:t>
            </w:r>
          </w:p>
          <w:p w14:paraId="2E6F5166" w14:textId="34391D6E" w:rsidR="00646549" w:rsidRPr="009C25FE" w:rsidRDefault="009C25FE" w:rsidP="009C25FE">
            <w:pPr>
              <w:pStyle w:val="Brezrazmikov"/>
              <w:rPr>
                <w:rFonts w:asciiTheme="minorHAnsi" w:hAnsiTheme="minorHAnsi" w:cstheme="minorHAnsi"/>
                <w:b/>
                <w:bCs/>
                <w:sz w:val="22"/>
                <w:szCs w:val="22"/>
              </w:rPr>
            </w:pPr>
            <w:r w:rsidRPr="009C25FE">
              <w:rPr>
                <w:rFonts w:asciiTheme="minorHAnsi" w:hAnsiTheme="minorHAnsi" w:cstheme="minorHAnsi"/>
                <w:b/>
                <w:bCs/>
                <w:sz w:val="22"/>
                <w:szCs w:val="22"/>
              </w:rPr>
              <w:t>8.393,75</w:t>
            </w:r>
            <w:r w:rsidRPr="009C25FE">
              <w:rPr>
                <w:rFonts w:asciiTheme="minorHAnsi" w:hAnsiTheme="minorHAnsi" w:cstheme="minorHAnsi"/>
                <w:b/>
                <w:bCs/>
                <w:sz w:val="22"/>
                <w:szCs w:val="22"/>
              </w:rPr>
              <w:t xml:space="preserve"> €</w:t>
            </w:r>
          </w:p>
        </w:tc>
      </w:tr>
      <w:tr w:rsidR="00CE10AD" w:rsidRPr="00AC7F03" w14:paraId="2DC74861" w14:textId="77777777" w:rsidTr="009F63BF">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78FEB"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Skupna vrednost celotne operacije</w:t>
            </w:r>
          </w:p>
        </w:tc>
        <w:tc>
          <w:tcPr>
            <w:tcW w:w="5548" w:type="dxa"/>
            <w:gridSpan w:val="2"/>
            <w:tcBorders>
              <w:top w:val="single" w:sz="4" w:space="0" w:color="auto"/>
              <w:left w:val="single" w:sz="4" w:space="0" w:color="auto"/>
              <w:bottom w:val="single" w:sz="4" w:space="0" w:color="auto"/>
              <w:right w:val="single" w:sz="4" w:space="0" w:color="auto"/>
            </w:tcBorders>
          </w:tcPr>
          <w:p w14:paraId="796921A7"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193.159,39 €</w:t>
            </w:r>
          </w:p>
          <w:p w14:paraId="513D0A77"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p>
        </w:tc>
      </w:tr>
      <w:tr w:rsidR="00CE10AD" w:rsidRPr="00AC7F03" w14:paraId="0C0A2598" w14:textId="77777777" w:rsidTr="009F63BF">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08036"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 xml:space="preserve">Stopnja sofinanciranja </w:t>
            </w:r>
          </w:p>
          <w:p w14:paraId="4CB382B0"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p>
        </w:tc>
        <w:tc>
          <w:tcPr>
            <w:tcW w:w="5548" w:type="dxa"/>
            <w:gridSpan w:val="2"/>
            <w:tcBorders>
              <w:top w:val="single" w:sz="4" w:space="0" w:color="auto"/>
              <w:left w:val="single" w:sz="4" w:space="0" w:color="auto"/>
              <w:bottom w:val="single" w:sz="4" w:space="0" w:color="auto"/>
              <w:right w:val="single" w:sz="4" w:space="0" w:color="auto"/>
            </w:tcBorders>
          </w:tcPr>
          <w:p w14:paraId="1DA9896F"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85 %</w:t>
            </w:r>
          </w:p>
        </w:tc>
      </w:tr>
      <w:tr w:rsidR="00CE10AD" w:rsidRPr="00AC7F03" w14:paraId="37F8B011" w14:textId="77777777" w:rsidTr="009F63BF">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0E985"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Višina sofinanciranja</w:t>
            </w:r>
          </w:p>
        </w:tc>
        <w:tc>
          <w:tcPr>
            <w:tcW w:w="5548" w:type="dxa"/>
            <w:gridSpan w:val="2"/>
            <w:tcBorders>
              <w:top w:val="single" w:sz="4" w:space="0" w:color="auto"/>
              <w:left w:val="single" w:sz="4" w:space="0" w:color="auto"/>
              <w:bottom w:val="single" w:sz="4" w:space="0" w:color="auto"/>
              <w:right w:val="single" w:sz="4" w:space="0" w:color="auto"/>
            </w:tcBorders>
          </w:tcPr>
          <w:p w14:paraId="471B8116" w14:textId="77777777" w:rsidR="00CE10AD" w:rsidRPr="00AC7F03" w:rsidRDefault="00CE10AD" w:rsidP="009F63BF">
            <w:pPr>
              <w:spacing w:after="0" w:line="240" w:lineRule="auto"/>
              <w:jc w:val="both"/>
              <w:rPr>
                <w:rFonts w:asciiTheme="minorHAnsi" w:hAnsiTheme="minorHAnsi" w:cstheme="minorHAnsi"/>
                <w:b/>
                <w:bCs/>
                <w:color w:val="000000"/>
                <w:sz w:val="22"/>
                <w:szCs w:val="22"/>
              </w:rPr>
            </w:pPr>
            <w:r w:rsidRPr="00AC7F03">
              <w:rPr>
                <w:rFonts w:asciiTheme="minorHAnsi" w:hAnsiTheme="minorHAnsi" w:cstheme="minorHAnsi"/>
                <w:b/>
                <w:bCs/>
                <w:color w:val="000000"/>
                <w:sz w:val="22"/>
                <w:szCs w:val="22"/>
              </w:rPr>
              <w:t>139.000,00 €</w:t>
            </w:r>
          </w:p>
          <w:p w14:paraId="053406E2"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p>
        </w:tc>
      </w:tr>
      <w:tr w:rsidR="00CE10AD" w:rsidRPr="00AC7F03" w14:paraId="27EF1D25" w14:textId="77777777" w:rsidTr="009F63BF">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75D35" w14:textId="77777777" w:rsidR="00CE10AD" w:rsidRPr="00AC7F03" w:rsidRDefault="00CE10AD" w:rsidP="009F63BF">
            <w:pPr>
              <w:spacing w:after="0" w:line="240" w:lineRule="auto"/>
              <w:jc w:val="both"/>
              <w:rPr>
                <w:rFonts w:asciiTheme="minorHAnsi" w:eastAsia="Times New Roman" w:hAnsiTheme="minorHAnsi" w:cstheme="minorHAnsi"/>
                <w:b/>
                <w:bCs/>
                <w:sz w:val="22"/>
                <w:szCs w:val="22"/>
                <w:lang w:eastAsia="sl-SI"/>
              </w:rPr>
            </w:pPr>
            <w:r w:rsidRPr="00AC7F03">
              <w:rPr>
                <w:rFonts w:asciiTheme="minorHAnsi" w:eastAsia="Times New Roman" w:hAnsiTheme="minorHAnsi" w:cstheme="minorHAnsi"/>
                <w:b/>
                <w:bCs/>
                <w:sz w:val="22"/>
                <w:szCs w:val="22"/>
                <w:lang w:eastAsia="sl-SI"/>
              </w:rPr>
              <w:t>Trajanje operacije</w:t>
            </w:r>
          </w:p>
        </w:tc>
        <w:tc>
          <w:tcPr>
            <w:tcW w:w="5548" w:type="dxa"/>
            <w:gridSpan w:val="2"/>
            <w:tcBorders>
              <w:top w:val="single" w:sz="4" w:space="0" w:color="auto"/>
              <w:left w:val="single" w:sz="4" w:space="0" w:color="auto"/>
              <w:bottom w:val="single" w:sz="4" w:space="0" w:color="auto"/>
              <w:right w:val="single" w:sz="4" w:space="0" w:color="auto"/>
            </w:tcBorders>
          </w:tcPr>
          <w:p w14:paraId="160F9CB6"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sz w:val="22"/>
                <w:szCs w:val="22"/>
                <w:lang w:eastAsia="sl-SI"/>
              </w:rPr>
              <w:t>18 mesecev</w:t>
            </w:r>
            <w:r w:rsidRPr="00AC7F03">
              <w:rPr>
                <w:rFonts w:asciiTheme="minorHAnsi" w:eastAsia="Times New Roman" w:hAnsiTheme="minorHAnsi" w:cstheme="minorHAnsi"/>
                <w:b/>
                <w:sz w:val="22"/>
                <w:szCs w:val="22"/>
                <w:lang w:eastAsia="sl-SI"/>
              </w:rPr>
              <w:tab/>
              <w:t xml:space="preserve"> (1.1.2021 -  31. 7. 2022)</w:t>
            </w:r>
            <w:r w:rsidRPr="00AC7F03">
              <w:rPr>
                <w:rFonts w:asciiTheme="minorHAnsi" w:eastAsia="Times New Roman" w:hAnsiTheme="minorHAnsi" w:cstheme="minorHAnsi"/>
                <w:b/>
                <w:sz w:val="22"/>
                <w:szCs w:val="22"/>
                <w:lang w:eastAsia="sl-SI"/>
              </w:rPr>
              <w:tab/>
              <w:t xml:space="preserve"> </w:t>
            </w:r>
          </w:p>
          <w:p w14:paraId="6FFBBF84" w14:textId="77777777" w:rsidR="00CE10AD" w:rsidRPr="00AC7F03" w:rsidRDefault="00CE10AD" w:rsidP="009F63BF">
            <w:pPr>
              <w:spacing w:after="0" w:line="240" w:lineRule="auto"/>
              <w:jc w:val="both"/>
              <w:rPr>
                <w:rFonts w:asciiTheme="minorHAnsi" w:eastAsia="Times New Roman" w:hAnsiTheme="minorHAnsi" w:cstheme="minorHAnsi"/>
                <w:b/>
                <w:sz w:val="22"/>
                <w:szCs w:val="22"/>
                <w:lang w:eastAsia="sl-SI"/>
              </w:rPr>
            </w:pPr>
          </w:p>
        </w:tc>
      </w:tr>
    </w:tbl>
    <w:p w14:paraId="1B3DE764" w14:textId="77777777" w:rsidR="00CE10AD" w:rsidRPr="00AC7F03" w:rsidRDefault="00CE10AD" w:rsidP="00CE10AD">
      <w:pPr>
        <w:widowControl w:val="0"/>
        <w:autoSpaceDE w:val="0"/>
        <w:autoSpaceDN w:val="0"/>
        <w:adjustRightInd w:val="0"/>
        <w:spacing w:after="0" w:line="240" w:lineRule="auto"/>
        <w:jc w:val="both"/>
        <w:rPr>
          <w:rFonts w:asciiTheme="minorHAnsi" w:hAnsiTheme="minorHAnsi" w:cstheme="minorHAnsi"/>
          <w:sz w:val="22"/>
          <w:szCs w:val="22"/>
        </w:rPr>
      </w:pPr>
    </w:p>
    <w:p w14:paraId="30E29DBA" w14:textId="77777777" w:rsidR="003B25CD" w:rsidRPr="00AC7F03" w:rsidRDefault="003B25CD" w:rsidP="003B25CD">
      <w:pPr>
        <w:rPr>
          <w:rFonts w:asciiTheme="minorHAnsi" w:hAnsiTheme="minorHAnsi" w:cstheme="minorHAnsi"/>
          <w:sz w:val="22"/>
          <w:szCs w:val="22"/>
        </w:rPr>
      </w:pPr>
    </w:p>
    <w:p w14:paraId="00C9BD78" w14:textId="77777777" w:rsidR="003B25CD" w:rsidRPr="00AC7F03" w:rsidRDefault="003B25CD" w:rsidP="003B25CD">
      <w:pPr>
        <w:pStyle w:val="Odstavekseznama"/>
        <w:widowControl w:val="0"/>
        <w:numPr>
          <w:ilvl w:val="0"/>
          <w:numId w:val="1"/>
        </w:numPr>
        <w:autoSpaceDE w:val="0"/>
        <w:autoSpaceDN w:val="0"/>
        <w:adjustRightInd w:val="0"/>
        <w:spacing w:after="0" w:line="240" w:lineRule="auto"/>
        <w:jc w:val="both"/>
        <w:rPr>
          <w:rFonts w:asciiTheme="minorHAnsi" w:hAnsiTheme="minorHAnsi" w:cstheme="minorHAnsi"/>
          <w:b/>
          <w:bCs/>
          <w:sz w:val="22"/>
          <w:szCs w:val="22"/>
        </w:rPr>
      </w:pPr>
      <w:r w:rsidRPr="00AC7F03">
        <w:rPr>
          <w:rFonts w:asciiTheme="minorHAnsi" w:hAnsiTheme="minorHAnsi" w:cstheme="minorHAnsi"/>
          <w:b/>
          <w:bCs/>
          <w:sz w:val="22"/>
          <w:szCs w:val="22"/>
        </w:rPr>
        <w:t>Opis operacije</w:t>
      </w:r>
    </w:p>
    <w:p w14:paraId="5676505A" w14:textId="77777777" w:rsidR="003B25CD" w:rsidRPr="00AC7F03" w:rsidRDefault="003B25CD" w:rsidP="003B25CD">
      <w:pPr>
        <w:pStyle w:val="Odstavekseznama"/>
        <w:widowControl w:val="0"/>
        <w:autoSpaceDE w:val="0"/>
        <w:autoSpaceDN w:val="0"/>
        <w:adjustRightInd w:val="0"/>
        <w:spacing w:after="0" w:line="240" w:lineRule="auto"/>
        <w:jc w:val="both"/>
        <w:rPr>
          <w:rFonts w:asciiTheme="minorHAnsi" w:hAnsiTheme="minorHAnsi" w:cstheme="minorHAnsi"/>
          <w:b/>
          <w:bCs/>
          <w:sz w:val="22"/>
          <w:szCs w:val="22"/>
        </w:rPr>
      </w:pPr>
    </w:p>
    <w:tbl>
      <w:tblPr>
        <w:tblStyle w:val="Tabelamrea"/>
        <w:tblW w:w="0" w:type="auto"/>
        <w:tblLook w:val="04A0" w:firstRow="1" w:lastRow="0" w:firstColumn="1" w:lastColumn="0" w:noHBand="0" w:noVBand="1"/>
      </w:tblPr>
      <w:tblGrid>
        <w:gridCol w:w="9062"/>
      </w:tblGrid>
      <w:tr w:rsidR="003B25CD" w:rsidRPr="00AC7F03" w14:paraId="48DE6DBB" w14:textId="77777777" w:rsidTr="009F63BF">
        <w:trPr>
          <w:trHeight w:val="1889"/>
        </w:trPr>
        <w:tc>
          <w:tcPr>
            <w:tcW w:w="9062" w:type="dxa"/>
          </w:tcPr>
          <w:p w14:paraId="13F56989" w14:textId="77777777" w:rsidR="003B25CD" w:rsidRPr="00AC7F03" w:rsidRDefault="00CE10AD" w:rsidP="009F63BF">
            <w:pPr>
              <w:rPr>
                <w:rFonts w:asciiTheme="minorHAnsi" w:hAnsiTheme="minorHAnsi" w:cstheme="minorHAnsi"/>
                <w:sz w:val="22"/>
                <w:szCs w:val="22"/>
              </w:rPr>
            </w:pPr>
            <w:r w:rsidRPr="00AC7F03">
              <w:rPr>
                <w:rFonts w:asciiTheme="minorHAnsi" w:hAnsiTheme="minorHAnsi" w:cstheme="minorHAnsi"/>
                <w:sz w:val="22"/>
                <w:szCs w:val="22"/>
              </w:rPr>
              <w:t xml:space="preserve">Operacija Po-savski rečni turizem temelji na neizkoriščenih turističnih potencialih, ki jih regiji nudi reka Sava s pritoki. Izvedba operacije bo potekala v dveh fazah – v prvi, ki je pretežno lokalnega značaja, se osredotočamo na krepitev primera dobre prakse z vzpostavitvijo ribiške vasice in nadgradnjo radeškega ribolovnega območja in oblikovanjem doživetja tradicionalni savski čoln, v drugi fazi, ki je pretežno regionalnega značaja, pa s pomočjo rezultatov prve faze moči usmerimo v prve večje korake (smernice, elaborati, regijska konferenca, prodajni image katalog z novimi tržnimi produkti </w:t>
            </w:r>
            <w:proofErr w:type="spellStart"/>
            <w:r w:rsidRPr="00AC7F03">
              <w:rPr>
                <w:rFonts w:asciiTheme="minorHAnsi" w:hAnsiTheme="minorHAnsi" w:cstheme="minorHAnsi"/>
                <w:sz w:val="22"/>
                <w:szCs w:val="22"/>
              </w:rPr>
              <w:t>itn</w:t>
            </w:r>
            <w:proofErr w:type="spellEnd"/>
            <w:r w:rsidRPr="00AC7F03">
              <w:rPr>
                <w:rFonts w:asciiTheme="minorHAnsi" w:hAnsiTheme="minorHAnsi" w:cstheme="minorHAnsi"/>
                <w:sz w:val="22"/>
                <w:szCs w:val="22"/>
              </w:rPr>
              <w:t>) na področju regijskega povezovanja na temo rečnega in ribolovnega turizma. Z realizacijo zastavljenega koncepta, ki bo izpostavil izjemnost potencialov turizma ob reki Savi, nameravamo doseči prebojni moment v doslej nepovezani in nekoordinirani zgodbi posavskega rečno-ribolovnega turizma.</w:t>
            </w:r>
          </w:p>
        </w:tc>
      </w:tr>
    </w:tbl>
    <w:p w14:paraId="18248B48" w14:textId="77777777" w:rsidR="003B25CD" w:rsidRPr="00AC7F03" w:rsidRDefault="003B25CD" w:rsidP="003B25CD">
      <w:pPr>
        <w:pStyle w:val="Odstavekseznama"/>
        <w:rPr>
          <w:rFonts w:asciiTheme="minorHAnsi" w:hAnsiTheme="minorHAnsi" w:cstheme="minorHAnsi"/>
          <w:b/>
          <w:bCs/>
          <w:sz w:val="22"/>
          <w:szCs w:val="22"/>
        </w:rPr>
      </w:pPr>
    </w:p>
    <w:p w14:paraId="4D0015A8" w14:textId="77777777" w:rsidR="003B25CD" w:rsidRPr="00AC7F03" w:rsidRDefault="003B25CD" w:rsidP="003B25CD">
      <w:pPr>
        <w:pStyle w:val="Odstavekseznama"/>
        <w:numPr>
          <w:ilvl w:val="0"/>
          <w:numId w:val="1"/>
        </w:numPr>
        <w:rPr>
          <w:rFonts w:asciiTheme="minorHAnsi" w:hAnsiTheme="minorHAnsi" w:cstheme="minorHAnsi"/>
          <w:b/>
          <w:bCs/>
          <w:sz w:val="22"/>
          <w:szCs w:val="22"/>
        </w:rPr>
      </w:pPr>
      <w:r w:rsidRPr="00AC7F03">
        <w:rPr>
          <w:rFonts w:asciiTheme="minorHAnsi" w:hAnsiTheme="minorHAnsi" w:cstheme="minorHAnsi"/>
          <w:b/>
          <w:bCs/>
          <w:sz w:val="22"/>
          <w:szCs w:val="22"/>
        </w:rPr>
        <w:lastRenderedPageBreak/>
        <w:t>Cilji operacije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3B25CD" w:rsidRPr="00AC7F03" w14:paraId="7AF87DEE" w14:textId="77777777" w:rsidTr="009F63BF">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174BB955" w14:textId="77777777" w:rsidR="003B25CD" w:rsidRPr="00AC7F03" w:rsidRDefault="003B25CD" w:rsidP="009F63BF">
            <w:pPr>
              <w:spacing w:after="0" w:line="240" w:lineRule="auto"/>
              <w:rPr>
                <w:rFonts w:asciiTheme="minorHAnsi" w:hAnsiTheme="minorHAnsi" w:cstheme="minorHAnsi"/>
                <w:sz w:val="22"/>
                <w:szCs w:val="22"/>
              </w:rPr>
            </w:pPr>
            <w:r w:rsidRPr="00AC7F03">
              <w:rPr>
                <w:rFonts w:asciiTheme="minorHAnsi" w:hAnsiTheme="minorHAnsi" w:cstheme="minorHAnsi"/>
                <w:b/>
                <w:bCs/>
                <w:sz w:val="22"/>
                <w:szCs w:val="22"/>
                <w:u w:val="single"/>
              </w:rPr>
              <w:t>CILJI:</w:t>
            </w:r>
          </w:p>
          <w:p w14:paraId="170376FD" w14:textId="02431BB7" w:rsidR="003B25CD" w:rsidRPr="00AC7F03" w:rsidRDefault="00F81DE1" w:rsidP="009F63BF">
            <w:pPr>
              <w:spacing w:after="0" w:line="240" w:lineRule="auto"/>
              <w:jc w:val="both"/>
              <w:rPr>
                <w:rFonts w:asciiTheme="minorHAnsi" w:hAnsiTheme="minorHAnsi" w:cstheme="minorHAnsi"/>
                <w:b/>
                <w:sz w:val="22"/>
                <w:szCs w:val="22"/>
              </w:rPr>
            </w:pPr>
            <w:r w:rsidRPr="00AC7F03">
              <w:rPr>
                <w:rFonts w:asciiTheme="minorHAnsi" w:hAnsiTheme="minorHAnsi" w:cstheme="minorHAnsi"/>
                <w:sz w:val="22"/>
                <w:szCs w:val="22"/>
              </w:rPr>
              <w:t xml:space="preserve">Operacija v prvi vrsti odgovarja na izziv ohranjanja in ustvarjanja delovnih mest, saj razvoj rečno-ribolovnega turizma nudi številne možnosti za aktivacijo potenciala mladih, žensk in vseh drugih delovno sposobnih. Potenciali trajnostnega turizma so ogromni, zato je potrebno spodbuditi razvoj novih podjetniških idej in inovativnost, ki bosta pripomogla pri odgovarjanju na izziv pomanjkanja delovnih mest, ki bi v naslednjih letih na </w:t>
            </w:r>
            <w:proofErr w:type="spellStart"/>
            <w:r w:rsidRPr="00AC7F03">
              <w:rPr>
                <w:rFonts w:asciiTheme="minorHAnsi" w:hAnsiTheme="minorHAnsi" w:cstheme="minorHAnsi"/>
                <w:sz w:val="22"/>
                <w:szCs w:val="22"/>
              </w:rPr>
              <w:t>na</w:t>
            </w:r>
            <w:proofErr w:type="spellEnd"/>
            <w:r w:rsidRPr="00AC7F03">
              <w:rPr>
                <w:rFonts w:asciiTheme="minorHAnsi" w:hAnsiTheme="minorHAnsi" w:cstheme="minorHAnsi"/>
                <w:sz w:val="22"/>
                <w:szCs w:val="22"/>
              </w:rPr>
              <w:t xml:space="preserve"> vseh ravneh znal biti še posebej pereč.</w:t>
            </w:r>
          </w:p>
        </w:tc>
      </w:tr>
    </w:tbl>
    <w:p w14:paraId="2A04123E" w14:textId="77777777" w:rsidR="003B25CD" w:rsidRPr="00AC7F03" w:rsidRDefault="003B25CD" w:rsidP="003B25CD">
      <w:pPr>
        <w:spacing w:after="0" w:line="240" w:lineRule="auto"/>
        <w:contextualSpacing/>
        <w:jc w:val="both"/>
        <w:rPr>
          <w:rFonts w:asciiTheme="minorHAnsi" w:eastAsia="Times New Roman" w:hAnsiTheme="minorHAnsi" w:cstheme="minorHAnsi"/>
          <w:b/>
          <w:bCs/>
          <w:sz w:val="22"/>
          <w:szCs w:val="22"/>
          <w:lang w:eastAsia="sl-SI"/>
        </w:rPr>
      </w:pPr>
    </w:p>
    <w:p w14:paraId="793C94E2" w14:textId="77777777" w:rsidR="003B25CD" w:rsidRPr="00AC7F03" w:rsidRDefault="003B25CD" w:rsidP="003B25CD">
      <w:pPr>
        <w:spacing w:after="0" w:line="240" w:lineRule="auto"/>
        <w:contextualSpacing/>
        <w:jc w:val="both"/>
        <w:rPr>
          <w:rFonts w:asciiTheme="minorHAnsi" w:eastAsia="Times New Roman" w:hAnsiTheme="minorHAnsi" w:cstheme="minorHAnsi"/>
          <w:b/>
          <w:bCs/>
          <w:sz w:val="22"/>
          <w:szCs w:val="22"/>
          <w:lang w:eastAsia="sl-SI"/>
        </w:rPr>
      </w:pPr>
    </w:p>
    <w:p w14:paraId="2428A36E" w14:textId="77777777" w:rsidR="003B25CD" w:rsidRPr="00AC7F03" w:rsidRDefault="003B25CD" w:rsidP="003B25CD">
      <w:pPr>
        <w:pStyle w:val="Odstavekseznama"/>
        <w:numPr>
          <w:ilvl w:val="0"/>
          <w:numId w:val="1"/>
        </w:numPr>
        <w:spacing w:after="0" w:line="240" w:lineRule="auto"/>
        <w:jc w:val="both"/>
        <w:rPr>
          <w:rFonts w:asciiTheme="minorHAnsi" w:eastAsia="Times New Roman" w:hAnsiTheme="minorHAnsi" w:cstheme="minorHAnsi"/>
          <w:b/>
          <w:sz w:val="22"/>
          <w:szCs w:val="22"/>
          <w:lang w:eastAsia="sl-SI"/>
        </w:rPr>
      </w:pPr>
      <w:r w:rsidRPr="00AC7F03">
        <w:rPr>
          <w:rFonts w:asciiTheme="minorHAnsi" w:eastAsia="Times New Roman" w:hAnsiTheme="minorHAnsi" w:cstheme="minorHAnsi"/>
          <w:b/>
          <w:bCs/>
          <w:sz w:val="22"/>
          <w:szCs w:val="22"/>
          <w:lang w:eastAsia="sl-SI"/>
        </w:rPr>
        <w:t>Kazalniki</w:t>
      </w:r>
    </w:p>
    <w:tbl>
      <w:tblPr>
        <w:tblW w:w="9793" w:type="dxa"/>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70" w:type="dxa"/>
        </w:tblCellMar>
        <w:tblLook w:val="04A0" w:firstRow="1" w:lastRow="0" w:firstColumn="1" w:lastColumn="0" w:noHBand="0" w:noVBand="1"/>
      </w:tblPr>
      <w:tblGrid>
        <w:gridCol w:w="4071"/>
        <w:gridCol w:w="4066"/>
        <w:gridCol w:w="1656"/>
      </w:tblGrid>
      <w:tr w:rsidR="00AC7F03" w:rsidRPr="00AC7F03" w14:paraId="1259B177" w14:textId="77777777" w:rsidTr="009F63BF">
        <w:trPr>
          <w:trHeight w:val="312"/>
        </w:trPr>
        <w:tc>
          <w:tcPr>
            <w:tcW w:w="4071" w:type="dxa"/>
            <w:tcBorders>
              <w:top w:val="single" w:sz="4" w:space="0" w:color="00000A"/>
              <w:left w:val="single" w:sz="4" w:space="0" w:color="00000A"/>
              <w:bottom w:val="single" w:sz="4" w:space="0" w:color="00000A"/>
              <w:right w:val="single" w:sz="4" w:space="0" w:color="00000A"/>
            </w:tcBorders>
            <w:shd w:val="clear" w:color="auto" w:fill="D8D8D8"/>
            <w:tcMar>
              <w:left w:w="25" w:type="dxa"/>
            </w:tcMar>
            <w:vAlign w:val="bottom"/>
          </w:tcPr>
          <w:p w14:paraId="677D488B" w14:textId="77777777" w:rsidR="00AC7F03" w:rsidRPr="00AC7F03" w:rsidRDefault="00AC7F03" w:rsidP="009F63BF">
            <w:pPr>
              <w:spacing w:after="0" w:line="240" w:lineRule="auto"/>
              <w:jc w:val="center"/>
              <w:rPr>
                <w:rFonts w:asciiTheme="minorHAnsi" w:hAnsiTheme="minorHAnsi" w:cstheme="minorHAnsi"/>
                <w:color w:val="000000"/>
                <w:sz w:val="22"/>
                <w:szCs w:val="22"/>
              </w:rPr>
            </w:pPr>
            <w:r w:rsidRPr="00AC7F03">
              <w:rPr>
                <w:rFonts w:asciiTheme="minorHAnsi" w:hAnsiTheme="minorHAnsi" w:cstheme="minorHAnsi"/>
                <w:color w:val="000000"/>
                <w:sz w:val="22"/>
                <w:szCs w:val="22"/>
              </w:rPr>
              <w:t>Cilj</w:t>
            </w:r>
          </w:p>
        </w:tc>
        <w:tc>
          <w:tcPr>
            <w:tcW w:w="4066" w:type="dxa"/>
            <w:tcBorders>
              <w:top w:val="single" w:sz="4" w:space="0" w:color="00000A"/>
              <w:left w:val="single" w:sz="4" w:space="0" w:color="00000A"/>
              <w:bottom w:val="single" w:sz="4" w:space="0" w:color="00000A"/>
              <w:right w:val="single" w:sz="4" w:space="0" w:color="00000A"/>
            </w:tcBorders>
            <w:shd w:val="clear" w:color="auto" w:fill="D8D8D8"/>
            <w:vAlign w:val="bottom"/>
          </w:tcPr>
          <w:p w14:paraId="4C54DDD4" w14:textId="77777777" w:rsidR="00AC7F03" w:rsidRPr="00AC7F03" w:rsidRDefault="00AC7F03" w:rsidP="009F63BF">
            <w:pPr>
              <w:spacing w:after="0" w:line="240" w:lineRule="auto"/>
              <w:jc w:val="center"/>
              <w:rPr>
                <w:rFonts w:asciiTheme="minorHAnsi" w:hAnsiTheme="minorHAnsi" w:cstheme="minorHAnsi"/>
                <w:color w:val="000000"/>
                <w:sz w:val="22"/>
                <w:szCs w:val="22"/>
              </w:rPr>
            </w:pPr>
            <w:r w:rsidRPr="00AC7F03">
              <w:rPr>
                <w:rFonts w:asciiTheme="minorHAnsi" w:hAnsiTheme="minorHAnsi" w:cstheme="minorHAnsi"/>
                <w:color w:val="000000"/>
                <w:sz w:val="22"/>
                <w:szCs w:val="22"/>
              </w:rPr>
              <w:t>Kazalnik</w:t>
            </w:r>
          </w:p>
        </w:tc>
        <w:tc>
          <w:tcPr>
            <w:tcW w:w="1656" w:type="dxa"/>
            <w:tcBorders>
              <w:top w:val="single" w:sz="4" w:space="0" w:color="00000A"/>
              <w:left w:val="single" w:sz="4" w:space="0" w:color="00000A"/>
              <w:bottom w:val="single" w:sz="4" w:space="0" w:color="00000A"/>
              <w:right w:val="single" w:sz="4" w:space="0" w:color="00000A"/>
            </w:tcBorders>
            <w:shd w:val="clear" w:color="auto" w:fill="D8D8D8"/>
            <w:vAlign w:val="bottom"/>
          </w:tcPr>
          <w:p w14:paraId="6ECEE5FB"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Število</w:t>
            </w:r>
          </w:p>
        </w:tc>
      </w:tr>
      <w:tr w:rsidR="00AC7F03" w:rsidRPr="00AC7F03" w14:paraId="0857364C" w14:textId="77777777" w:rsidTr="009F63BF">
        <w:trPr>
          <w:trHeight w:val="300"/>
        </w:trPr>
        <w:tc>
          <w:tcPr>
            <w:tcW w:w="40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15F9EFA2"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Cilj 1.1: Ustvariti kakovostna delovna mesta</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306AE5AE"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novo ustvarjenih delovnih mest</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FFA1729"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0B1147A7" w14:textId="77777777" w:rsidTr="009F63BF">
        <w:trPr>
          <w:trHeight w:val="276"/>
        </w:trPr>
        <w:tc>
          <w:tcPr>
            <w:tcW w:w="40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14CAB025"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Cilj 1.2: Krepiti pogoje za rast malih ponudnikov v perspektivnih dejavnostih</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3ED42733" w14:textId="77777777" w:rsidR="00AC7F03" w:rsidRPr="00AC7F03" w:rsidRDefault="00AC7F03" w:rsidP="009F63BF">
            <w:pPr>
              <w:spacing w:after="0" w:line="240" w:lineRule="auto"/>
              <w:rPr>
                <w:rFonts w:asciiTheme="minorHAnsi" w:hAnsiTheme="minorHAnsi" w:cstheme="minorHAnsi"/>
                <w:b/>
                <w:bCs/>
                <w:color w:val="000000"/>
                <w:sz w:val="22"/>
                <w:szCs w:val="22"/>
              </w:rPr>
            </w:pPr>
            <w:r w:rsidRPr="00AC7F03">
              <w:rPr>
                <w:rFonts w:asciiTheme="minorHAnsi" w:hAnsiTheme="minorHAnsi" w:cstheme="minorHAnsi"/>
                <w:b/>
                <w:bCs/>
                <w:color w:val="000000"/>
                <w:sz w:val="22"/>
                <w:szCs w:val="22"/>
              </w:rPr>
              <w:t>Št. novih produktov ali storitev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BF0AC5C" w14:textId="77777777" w:rsidR="00AC7F03" w:rsidRPr="00AC7F03" w:rsidRDefault="00AC7F03" w:rsidP="009F63BF">
            <w:pPr>
              <w:spacing w:after="0" w:line="240" w:lineRule="auto"/>
              <w:rPr>
                <w:rFonts w:asciiTheme="minorHAnsi" w:hAnsiTheme="minorHAnsi" w:cstheme="minorHAnsi"/>
                <w:b/>
                <w:bCs/>
                <w:sz w:val="22"/>
                <w:szCs w:val="22"/>
              </w:rPr>
            </w:pPr>
            <w:r w:rsidRPr="00AC7F03">
              <w:rPr>
                <w:rFonts w:asciiTheme="minorHAnsi" w:hAnsiTheme="minorHAnsi" w:cstheme="minorHAnsi"/>
                <w:b/>
                <w:bCs/>
                <w:color w:val="000000"/>
                <w:sz w:val="22"/>
                <w:szCs w:val="22"/>
              </w:rPr>
              <w:t>5 </w:t>
            </w:r>
          </w:p>
        </w:tc>
      </w:tr>
      <w:tr w:rsidR="00AC7F03" w:rsidRPr="00AC7F03" w14:paraId="5A00DDC4"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30F67975"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7A9E4249" w14:textId="77777777" w:rsidR="00AC7F03" w:rsidRPr="00AC7F03" w:rsidRDefault="00AC7F03" w:rsidP="009F63BF">
            <w:pPr>
              <w:spacing w:after="0" w:line="240" w:lineRule="auto"/>
              <w:rPr>
                <w:rFonts w:asciiTheme="minorHAnsi" w:hAnsiTheme="minorHAnsi" w:cstheme="minorHAnsi"/>
                <w:b/>
                <w:bCs/>
                <w:color w:val="000000"/>
                <w:sz w:val="22"/>
                <w:szCs w:val="22"/>
              </w:rPr>
            </w:pPr>
            <w:r w:rsidRPr="00AC7F03">
              <w:rPr>
                <w:rFonts w:asciiTheme="minorHAnsi" w:hAnsiTheme="minorHAnsi" w:cstheme="minorHAnsi"/>
                <w:b/>
                <w:bCs/>
                <w:color w:val="000000"/>
                <w:sz w:val="22"/>
                <w:szCs w:val="22"/>
              </w:rPr>
              <w:t>Št. ohranjenih delovnih mest</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461E0FC" w14:textId="77777777" w:rsidR="00AC7F03" w:rsidRPr="00AC7F03" w:rsidRDefault="00AC7F03" w:rsidP="009F63BF">
            <w:pPr>
              <w:spacing w:after="0" w:line="240" w:lineRule="auto"/>
              <w:rPr>
                <w:rFonts w:asciiTheme="minorHAnsi" w:hAnsiTheme="minorHAnsi" w:cstheme="minorHAnsi"/>
                <w:b/>
                <w:bCs/>
                <w:sz w:val="22"/>
                <w:szCs w:val="22"/>
              </w:rPr>
            </w:pPr>
            <w:r w:rsidRPr="00AC7F03">
              <w:rPr>
                <w:rFonts w:asciiTheme="minorHAnsi" w:hAnsiTheme="minorHAnsi" w:cstheme="minorHAnsi"/>
                <w:b/>
                <w:bCs/>
                <w:color w:val="000000"/>
                <w:sz w:val="22"/>
                <w:szCs w:val="22"/>
              </w:rPr>
              <w:t>1</w:t>
            </w:r>
          </w:p>
        </w:tc>
      </w:tr>
      <w:tr w:rsidR="00AC7F03" w:rsidRPr="00AC7F03" w14:paraId="39D5DBC1"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6E488736"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6F7808BE"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novoustanovljenih podjetij</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AF4510A" w14:textId="77777777" w:rsidR="00AC7F03" w:rsidRPr="00AC7F03" w:rsidRDefault="00AC7F03" w:rsidP="009F63BF">
            <w:pPr>
              <w:spacing w:after="0" w:line="240" w:lineRule="auto"/>
              <w:rPr>
                <w:rFonts w:asciiTheme="minorHAnsi" w:hAnsiTheme="minorHAnsi" w:cstheme="minorHAnsi"/>
                <w:color w:val="000000"/>
                <w:sz w:val="22"/>
                <w:szCs w:val="22"/>
              </w:rPr>
            </w:pPr>
          </w:p>
        </w:tc>
      </w:tr>
      <w:tr w:rsidR="00AC7F03" w:rsidRPr="00AC7F03" w14:paraId="1C11437C"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5C5C3CF9"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599C0FB2"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usposobljenih nosilcev dejavnosti</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3130770" w14:textId="77777777" w:rsidR="00AC7F03" w:rsidRPr="00AC7F03" w:rsidRDefault="00AC7F03" w:rsidP="009F63BF">
            <w:pPr>
              <w:spacing w:after="0" w:line="240" w:lineRule="auto"/>
              <w:rPr>
                <w:rFonts w:asciiTheme="minorHAnsi" w:hAnsiTheme="minorHAnsi" w:cstheme="minorHAnsi"/>
                <w:color w:val="000000"/>
                <w:sz w:val="22"/>
                <w:szCs w:val="22"/>
              </w:rPr>
            </w:pPr>
          </w:p>
        </w:tc>
      </w:tr>
      <w:tr w:rsidR="00AC7F03" w:rsidRPr="00AC7F03" w14:paraId="26224A08"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5D569FD2"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5F3E28D5"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vzpostavljenih partnerstev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EB162A5" w14:textId="77777777" w:rsidR="00AC7F03" w:rsidRPr="00AC7F03" w:rsidRDefault="00AC7F03" w:rsidP="009F63BF">
            <w:pPr>
              <w:spacing w:after="0" w:line="240" w:lineRule="auto"/>
              <w:rPr>
                <w:rFonts w:asciiTheme="minorHAnsi" w:hAnsiTheme="minorHAnsi" w:cstheme="minorHAnsi"/>
                <w:color w:val="000000"/>
                <w:sz w:val="22"/>
                <w:szCs w:val="22"/>
              </w:rPr>
            </w:pPr>
          </w:p>
        </w:tc>
      </w:tr>
      <w:tr w:rsidR="00AC7F03" w:rsidRPr="00AC7F03" w14:paraId="2284512B" w14:textId="77777777" w:rsidTr="009F63BF">
        <w:trPr>
          <w:trHeight w:val="276"/>
        </w:trPr>
        <w:tc>
          <w:tcPr>
            <w:tcW w:w="40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0C7ED293"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Cilj 2.1: Aktivirati potenciale za revitalizacijo podeželja</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786117AF"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novih programov ali storitev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FD67CF3"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4A21905C"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492A9EC2"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031964E7"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vključenih proizvajalcev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0409F07"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065DAC6C"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04ABE878"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5201FF03"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vključenih prebivalcev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1A0F181" w14:textId="77777777" w:rsidR="00AC7F03" w:rsidRPr="00AC7F03" w:rsidRDefault="00AC7F03" w:rsidP="009F63BF">
            <w:pPr>
              <w:spacing w:after="0" w:line="240" w:lineRule="auto"/>
              <w:rPr>
                <w:rFonts w:asciiTheme="minorHAnsi" w:hAnsiTheme="minorHAnsi" w:cstheme="minorHAnsi"/>
                <w:color w:val="000000"/>
                <w:sz w:val="22"/>
                <w:szCs w:val="22"/>
              </w:rPr>
            </w:pPr>
          </w:p>
        </w:tc>
      </w:tr>
      <w:tr w:rsidR="00AC7F03" w:rsidRPr="00AC7F03" w14:paraId="71B45960" w14:textId="77777777" w:rsidTr="009F63BF">
        <w:trPr>
          <w:trHeight w:val="276"/>
        </w:trPr>
        <w:tc>
          <w:tcPr>
            <w:tcW w:w="40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52AC5472"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xml:space="preserve">Cilj 3.1: Izboljšati stanje okolja za večjo kakovost življenja in dela </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38306F82"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izvedenih ukrepov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5329CC1"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057765A8" w14:textId="77777777" w:rsidTr="009F63BF">
        <w:trPr>
          <w:trHeight w:val="300"/>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2ED599BC"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53777D77"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xml:space="preserve">Št. novih </w:t>
            </w:r>
            <w:proofErr w:type="spellStart"/>
            <w:r w:rsidRPr="00AC7F03">
              <w:rPr>
                <w:rFonts w:asciiTheme="minorHAnsi" w:hAnsiTheme="minorHAnsi" w:cstheme="minorHAnsi"/>
                <w:color w:val="000000"/>
                <w:sz w:val="22"/>
                <w:szCs w:val="22"/>
              </w:rPr>
              <w:t>okoljskih</w:t>
            </w:r>
            <w:proofErr w:type="spellEnd"/>
            <w:r w:rsidRPr="00AC7F03">
              <w:rPr>
                <w:rFonts w:asciiTheme="minorHAnsi" w:hAnsiTheme="minorHAnsi" w:cstheme="minorHAnsi"/>
                <w:color w:val="000000"/>
                <w:sz w:val="22"/>
                <w:szCs w:val="22"/>
              </w:rPr>
              <w:t xml:space="preserve"> rešitev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A15129A"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19A36180" w14:textId="77777777" w:rsidTr="009F63BF">
        <w:trPr>
          <w:trHeight w:val="276"/>
        </w:trPr>
        <w:tc>
          <w:tcPr>
            <w:tcW w:w="40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50838AFD"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Cilj 3.2: Ohranjanje narave in biotske raznovrstnosti za trajnostni razvoj območja LAS</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6177E526"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izvedenih ukrepov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F9EC975"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1F4E76C3" w14:textId="77777777" w:rsidTr="009F63BF">
        <w:trPr>
          <w:trHeight w:val="288"/>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2BE036BB"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53A0657F"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novih vsebin in programov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B629081"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164AFE8A" w14:textId="77777777" w:rsidTr="009F63BF">
        <w:trPr>
          <w:trHeight w:val="300"/>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202EDEC6"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412513CB"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vključenih v aktivnosti ozaveščanja</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6751F9F"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1B6D2D0F" w14:textId="77777777" w:rsidTr="009F63BF">
        <w:trPr>
          <w:trHeight w:val="276"/>
        </w:trPr>
        <w:tc>
          <w:tcPr>
            <w:tcW w:w="40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5613BD90"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xml:space="preserve">Cilj 4.1: Izboljšati pogoje za vključenost ranljivih ciljnih skupin v družbo </w:t>
            </w: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4E5C1773"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izboljšanih ali novih programov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DFC8453"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r w:rsidR="00AC7F03" w:rsidRPr="00AC7F03" w14:paraId="2D36FBAC"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4666682C"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61B74403" w14:textId="77777777" w:rsidR="00AC7F03" w:rsidRPr="00AC7F03" w:rsidRDefault="00AC7F03" w:rsidP="009F63BF">
            <w:pPr>
              <w:spacing w:after="0" w:line="240" w:lineRule="auto"/>
              <w:rPr>
                <w:rFonts w:asciiTheme="minorHAnsi" w:hAnsiTheme="minorHAnsi" w:cstheme="minorHAnsi"/>
                <w:b/>
                <w:bCs/>
                <w:color w:val="000000"/>
                <w:sz w:val="22"/>
                <w:szCs w:val="22"/>
              </w:rPr>
            </w:pPr>
            <w:r w:rsidRPr="00AC7F03">
              <w:rPr>
                <w:rFonts w:asciiTheme="minorHAnsi" w:hAnsiTheme="minorHAnsi" w:cstheme="minorHAnsi"/>
                <w:b/>
                <w:bCs/>
                <w:color w:val="000000"/>
                <w:sz w:val="22"/>
                <w:szCs w:val="22"/>
              </w:rPr>
              <w:t>Št. vključenih iz ranljivih skupin</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EB913BC" w14:textId="77777777" w:rsidR="00AC7F03" w:rsidRPr="00AC7F03" w:rsidRDefault="00AC7F03" w:rsidP="009F63BF">
            <w:pPr>
              <w:spacing w:after="0" w:line="240" w:lineRule="auto"/>
              <w:rPr>
                <w:rFonts w:asciiTheme="minorHAnsi" w:hAnsiTheme="minorHAnsi" w:cstheme="minorHAnsi"/>
                <w:b/>
                <w:bCs/>
                <w:sz w:val="22"/>
                <w:szCs w:val="22"/>
              </w:rPr>
            </w:pPr>
            <w:r w:rsidRPr="00AC7F03">
              <w:rPr>
                <w:rFonts w:asciiTheme="minorHAnsi" w:hAnsiTheme="minorHAnsi" w:cstheme="minorHAnsi"/>
                <w:b/>
                <w:bCs/>
                <w:color w:val="000000"/>
                <w:sz w:val="22"/>
                <w:szCs w:val="22"/>
              </w:rPr>
              <w:t>20</w:t>
            </w:r>
          </w:p>
        </w:tc>
      </w:tr>
      <w:tr w:rsidR="00AC7F03" w:rsidRPr="00AC7F03" w14:paraId="275832DC" w14:textId="77777777" w:rsidTr="009F63BF">
        <w:trPr>
          <w:trHeight w:val="276"/>
        </w:trPr>
        <w:tc>
          <w:tcPr>
            <w:tcW w:w="4071" w:type="dxa"/>
            <w:vMerge/>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14:paraId="3161D04C" w14:textId="77777777" w:rsidR="00AC7F03" w:rsidRPr="00AC7F03" w:rsidRDefault="00AC7F03" w:rsidP="009F63BF">
            <w:pPr>
              <w:rPr>
                <w:rFonts w:asciiTheme="minorHAnsi" w:hAnsiTheme="minorHAnsi" w:cstheme="minorHAnsi"/>
                <w:sz w:val="22"/>
                <w:szCs w:val="22"/>
              </w:rPr>
            </w:pPr>
          </w:p>
        </w:tc>
        <w:tc>
          <w:tcPr>
            <w:tcW w:w="4066" w:type="dxa"/>
            <w:tcBorders>
              <w:top w:val="single" w:sz="4" w:space="0" w:color="00000A"/>
              <w:left w:val="single" w:sz="4" w:space="0" w:color="00000A"/>
              <w:bottom w:val="single" w:sz="4" w:space="0" w:color="00000A"/>
              <w:right w:val="single" w:sz="4" w:space="0" w:color="00000A"/>
            </w:tcBorders>
            <w:shd w:val="clear" w:color="auto" w:fill="FFFFFF"/>
          </w:tcPr>
          <w:p w14:paraId="1080D325"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Št. vzpostavljenih partnerstev</w:t>
            </w:r>
          </w:p>
        </w:tc>
        <w:tc>
          <w:tcPr>
            <w:tcW w:w="1656"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930FC9F" w14:textId="77777777" w:rsidR="00AC7F03" w:rsidRPr="00AC7F03" w:rsidRDefault="00AC7F03" w:rsidP="009F63BF">
            <w:pPr>
              <w:spacing w:after="0" w:line="240" w:lineRule="auto"/>
              <w:rPr>
                <w:rFonts w:asciiTheme="minorHAnsi" w:hAnsiTheme="minorHAnsi" w:cstheme="minorHAnsi"/>
                <w:color w:val="000000"/>
                <w:sz w:val="22"/>
                <w:szCs w:val="22"/>
              </w:rPr>
            </w:pPr>
            <w:r w:rsidRPr="00AC7F03">
              <w:rPr>
                <w:rFonts w:asciiTheme="minorHAnsi" w:hAnsiTheme="minorHAnsi" w:cstheme="minorHAnsi"/>
                <w:color w:val="000000"/>
                <w:sz w:val="22"/>
                <w:szCs w:val="22"/>
              </w:rPr>
              <w:t> </w:t>
            </w:r>
          </w:p>
        </w:tc>
      </w:tr>
    </w:tbl>
    <w:p w14:paraId="7DA3E641" w14:textId="77777777" w:rsidR="00AC7F03" w:rsidRPr="00AC7F03" w:rsidRDefault="00AC7F03" w:rsidP="00AC7F03">
      <w:pPr>
        <w:spacing w:after="0" w:line="240" w:lineRule="auto"/>
        <w:jc w:val="both"/>
        <w:rPr>
          <w:rFonts w:asciiTheme="minorHAnsi" w:hAnsiTheme="minorHAnsi" w:cstheme="minorHAnsi"/>
          <w:b/>
          <w:sz w:val="22"/>
          <w:szCs w:val="22"/>
        </w:rPr>
      </w:pPr>
    </w:p>
    <w:p w14:paraId="7A5805AE" w14:textId="77777777" w:rsidR="00745478" w:rsidRPr="00AC7F03" w:rsidRDefault="00745478">
      <w:pPr>
        <w:rPr>
          <w:rFonts w:asciiTheme="minorHAnsi" w:hAnsiTheme="minorHAnsi" w:cstheme="minorHAnsi"/>
          <w:sz w:val="22"/>
          <w:szCs w:val="22"/>
        </w:rPr>
      </w:pPr>
    </w:p>
    <w:sectPr w:rsidR="00745478" w:rsidRPr="00AC7F0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8AFEF" w14:textId="77777777" w:rsidR="007A2A5B" w:rsidRDefault="00BD7DA4">
      <w:pPr>
        <w:spacing w:after="0" w:line="240" w:lineRule="auto"/>
      </w:pPr>
      <w:r>
        <w:separator/>
      </w:r>
    </w:p>
  </w:endnote>
  <w:endnote w:type="continuationSeparator" w:id="0">
    <w:p w14:paraId="0F2A863F" w14:textId="77777777" w:rsidR="007A2A5B" w:rsidRDefault="00BD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83C30" w14:textId="77777777" w:rsidR="00882F4E" w:rsidRPr="005330A1" w:rsidRDefault="00AC7F03" w:rsidP="00882F4E">
    <w:pPr>
      <w:tabs>
        <w:tab w:val="left" w:pos="3420"/>
      </w:tabs>
      <w:spacing w:after="0" w:line="240" w:lineRule="auto"/>
      <w:rPr>
        <w:rFonts w:ascii="Times New Roman" w:hAnsi="Times New Roman" w:cs="Arial"/>
        <w:szCs w:val="22"/>
      </w:rPr>
    </w:pPr>
    <w:bookmarkStart w:id="4" w:name="_Hlk517089744"/>
    <w:r w:rsidRPr="005330A1">
      <w:rPr>
        <w:rFonts w:ascii="Times New Roman" w:hAnsi="Times New Roman" w:cs="Arial"/>
        <w:noProof/>
        <w:szCs w:val="22"/>
        <w:lang w:eastAsia="sl-SI"/>
      </w:rPr>
      <w:drawing>
        <wp:inline distT="0" distB="0" distL="0" distR="0" wp14:anchorId="3F2CFD58" wp14:editId="3BFFF116">
          <wp:extent cx="2486025" cy="647700"/>
          <wp:effectExtent l="0" t="0" r="9525"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783" cy="684633"/>
                  </a:xfrm>
                  <a:prstGeom prst="rect">
                    <a:avLst/>
                  </a:prstGeom>
                  <a:noFill/>
                </pic:spPr>
              </pic:pic>
            </a:graphicData>
          </a:graphic>
        </wp:inline>
      </w:drawing>
    </w:r>
    <w:r w:rsidRPr="005330A1">
      <w:rPr>
        <w:rFonts w:ascii="Times New Roman" w:hAnsi="Times New Roman" w:cs="Arial"/>
        <w:noProof/>
        <w:szCs w:val="22"/>
        <w:lang w:eastAsia="sl-SI"/>
      </w:rPr>
      <w:drawing>
        <wp:inline distT="0" distB="0" distL="0" distR="0" wp14:anchorId="64D0A3D8" wp14:editId="332A80EB">
          <wp:extent cx="1657350" cy="542925"/>
          <wp:effectExtent l="0" t="0" r="0" b="9525"/>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341" cy="573060"/>
                  </a:xfrm>
                  <a:prstGeom prst="rect">
                    <a:avLst/>
                  </a:prstGeom>
                  <a:noFill/>
                </pic:spPr>
              </pic:pic>
            </a:graphicData>
          </a:graphic>
        </wp:inline>
      </w:drawing>
    </w:r>
    <w:r w:rsidRPr="005330A1">
      <w:rPr>
        <w:rFonts w:ascii="Times New Roman" w:hAnsi="Times New Roman" w:cs="Arial"/>
        <w:noProof/>
        <w:szCs w:val="22"/>
        <w:lang w:eastAsia="sl-SI"/>
      </w:rPr>
      <w:drawing>
        <wp:inline distT="0" distB="0" distL="0" distR="0" wp14:anchorId="00A07CFC" wp14:editId="27E77935">
          <wp:extent cx="1552575" cy="712236"/>
          <wp:effectExtent l="0" t="0" r="0" b="0"/>
          <wp:docPr id="47" name="Slika 47" descr="C:\Users\manuelab\AppData\Local\Microsoft\Windows\Temporary Internet Files\Content.Outlook\6VU8UWON\Logo_ESR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ab\AppData\Local\Microsoft\Windows\Temporary Internet Files\Content.Outlook\6VU8UWON\Logo_ESRR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023" cy="783547"/>
                  </a:xfrm>
                  <a:prstGeom prst="rect">
                    <a:avLst/>
                  </a:prstGeom>
                  <a:noFill/>
                  <a:ln>
                    <a:noFill/>
                  </a:ln>
                </pic:spPr>
              </pic:pic>
            </a:graphicData>
          </a:graphic>
        </wp:inline>
      </w:drawing>
    </w:r>
  </w:p>
  <w:bookmarkEnd w:id="4"/>
  <w:p w14:paraId="5D09C06C" w14:textId="77777777" w:rsidR="00D120AA" w:rsidRDefault="009C25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B13BA" w14:textId="77777777" w:rsidR="007A2A5B" w:rsidRDefault="00BD7DA4">
      <w:pPr>
        <w:spacing w:after="0" w:line="240" w:lineRule="auto"/>
      </w:pPr>
      <w:r>
        <w:separator/>
      </w:r>
    </w:p>
  </w:footnote>
  <w:footnote w:type="continuationSeparator" w:id="0">
    <w:p w14:paraId="745A7436" w14:textId="77777777" w:rsidR="007A2A5B" w:rsidRDefault="00BD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B988" w14:textId="77777777" w:rsidR="00D120AA" w:rsidRPr="005330A1" w:rsidRDefault="00AC7F03" w:rsidP="00D120AA">
    <w:pPr>
      <w:tabs>
        <w:tab w:val="center" w:pos="4536"/>
        <w:tab w:val="right" w:pos="9072"/>
      </w:tabs>
      <w:spacing w:after="0" w:line="240" w:lineRule="auto"/>
      <w:jc w:val="center"/>
      <w:rPr>
        <w:rFonts w:ascii="Times New Roman" w:hAnsi="Times New Roman" w:cs="Arial"/>
        <w:noProof/>
        <w:szCs w:val="22"/>
        <w:lang w:eastAsia="sl-SI"/>
      </w:rPr>
    </w:pPr>
    <w:bookmarkStart w:id="0" w:name="_Hlk517089731"/>
    <w:bookmarkStart w:id="1" w:name="_Hlk517089732"/>
    <w:bookmarkStart w:id="2" w:name="_Hlk517089733"/>
    <w:bookmarkStart w:id="3" w:name="_Hlk517089734"/>
    <w:r w:rsidRPr="005330A1">
      <w:rPr>
        <w:rFonts w:ascii="Times New Roman" w:hAnsi="Times New Roman" w:cs="Arial"/>
        <w:noProof/>
        <w:szCs w:val="22"/>
        <w:lang w:eastAsia="sl-SI"/>
      </w:rPr>
      <w:drawing>
        <wp:inline distT="0" distB="0" distL="0" distR="0" wp14:anchorId="2D275A25" wp14:editId="59BA091E">
          <wp:extent cx="770890" cy="866775"/>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a:stretch>
                    <a:fillRect/>
                  </a:stretch>
                </pic:blipFill>
                <pic:spPr>
                  <a:xfrm>
                    <a:off x="0" y="0"/>
                    <a:ext cx="782154" cy="879440"/>
                  </a:xfrm>
                  <a:prstGeom prst="rect">
                    <a:avLst/>
                  </a:prstGeom>
                </pic:spPr>
              </pic:pic>
            </a:graphicData>
          </a:graphic>
        </wp:inline>
      </w:drawing>
    </w:r>
    <w:r w:rsidRPr="005330A1">
      <w:rPr>
        <w:rFonts w:ascii="Times New Roman" w:hAnsi="Times New Roman" w:cs="Arial"/>
        <w:noProof/>
        <w:szCs w:val="22"/>
        <w:lang w:eastAsia="sl-SI"/>
      </w:rPr>
      <w:drawing>
        <wp:inline distT="0" distB="0" distL="0" distR="0" wp14:anchorId="50FCAF45" wp14:editId="08DCCF13">
          <wp:extent cx="2636314" cy="713740"/>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0181" cy="752690"/>
                  </a:xfrm>
                  <a:prstGeom prst="rect">
                    <a:avLst/>
                  </a:prstGeom>
                  <a:noFill/>
                </pic:spPr>
              </pic:pic>
            </a:graphicData>
          </a:graphic>
        </wp:inline>
      </w:drawing>
    </w:r>
    <w:r>
      <w:rPr>
        <w:rFonts w:ascii="Times New Roman" w:hAnsi="Times New Roman" w:cs="Arial"/>
        <w:noProof/>
        <w:szCs w:val="22"/>
        <w:lang w:eastAsia="sl-SI"/>
      </w:rPr>
      <w:t xml:space="preserve">  </w:t>
    </w:r>
    <w:r w:rsidRPr="005330A1">
      <w:rPr>
        <w:rFonts w:ascii="Times New Roman" w:hAnsi="Times New Roman" w:cs="Arial"/>
        <w:noProof/>
        <w:szCs w:val="22"/>
        <w:lang w:eastAsia="sl-SI"/>
      </w:rPr>
      <w:drawing>
        <wp:inline distT="0" distB="0" distL="0" distR="0" wp14:anchorId="1A00B9B0" wp14:editId="28E047BE">
          <wp:extent cx="1866900" cy="575945"/>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0692" cy="586370"/>
                  </a:xfrm>
                  <a:prstGeom prst="rect">
                    <a:avLst/>
                  </a:prstGeom>
                  <a:noFill/>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16DB3"/>
    <w:multiLevelType w:val="hybridMultilevel"/>
    <w:tmpl w:val="1BA87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D"/>
    <w:rsid w:val="000C5426"/>
    <w:rsid w:val="003B25CD"/>
    <w:rsid w:val="005D6B8B"/>
    <w:rsid w:val="00646549"/>
    <w:rsid w:val="00745478"/>
    <w:rsid w:val="007A2A5B"/>
    <w:rsid w:val="009C25FE"/>
    <w:rsid w:val="00AC7F03"/>
    <w:rsid w:val="00BD7DA4"/>
    <w:rsid w:val="00CE10AD"/>
    <w:rsid w:val="00F81D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B66A"/>
  <w15:chartTrackingRefBased/>
  <w15:docId w15:val="{49532FAE-239E-4A20-8C4F-B4FAFFD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25CD"/>
    <w:pPr>
      <w:spacing w:after="120" w:line="276" w:lineRule="auto"/>
    </w:pPr>
    <w:rPr>
      <w:rFonts w:asciiTheme="majorHAnsi" w:hAnsiTheme="majorHAns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B25CD"/>
    <w:pPr>
      <w:tabs>
        <w:tab w:val="center" w:pos="4536"/>
        <w:tab w:val="right" w:pos="9072"/>
      </w:tabs>
      <w:spacing w:after="0" w:line="240" w:lineRule="auto"/>
    </w:pPr>
  </w:style>
  <w:style w:type="character" w:customStyle="1" w:styleId="GlavaZnak">
    <w:name w:val="Glava Znak"/>
    <w:basedOn w:val="Privzetapisavaodstavka"/>
    <w:link w:val="Glava"/>
    <w:uiPriority w:val="99"/>
    <w:rsid w:val="003B25CD"/>
    <w:rPr>
      <w:rFonts w:asciiTheme="majorHAnsi" w:hAnsiTheme="majorHAnsi"/>
      <w:sz w:val="24"/>
      <w:szCs w:val="24"/>
    </w:rPr>
  </w:style>
  <w:style w:type="paragraph" w:styleId="Noga">
    <w:name w:val="footer"/>
    <w:basedOn w:val="Navaden"/>
    <w:link w:val="NogaZnak"/>
    <w:uiPriority w:val="99"/>
    <w:unhideWhenUsed/>
    <w:rsid w:val="003B25CD"/>
    <w:pPr>
      <w:tabs>
        <w:tab w:val="center" w:pos="4536"/>
        <w:tab w:val="right" w:pos="9072"/>
      </w:tabs>
      <w:spacing w:after="0" w:line="240" w:lineRule="auto"/>
    </w:pPr>
  </w:style>
  <w:style w:type="character" w:customStyle="1" w:styleId="NogaZnak">
    <w:name w:val="Noga Znak"/>
    <w:basedOn w:val="Privzetapisavaodstavka"/>
    <w:link w:val="Noga"/>
    <w:uiPriority w:val="99"/>
    <w:rsid w:val="003B25CD"/>
    <w:rPr>
      <w:rFonts w:asciiTheme="majorHAnsi" w:hAnsiTheme="majorHAnsi"/>
      <w:sz w:val="24"/>
      <w:szCs w:val="24"/>
    </w:rPr>
  </w:style>
  <w:style w:type="paragraph" w:styleId="Odstavekseznama">
    <w:name w:val="List Paragraph"/>
    <w:basedOn w:val="Navaden"/>
    <w:link w:val="OdstavekseznamaZnak"/>
    <w:uiPriority w:val="34"/>
    <w:qFormat/>
    <w:rsid w:val="003B25CD"/>
    <w:pPr>
      <w:ind w:left="720"/>
      <w:contextualSpacing/>
    </w:pPr>
  </w:style>
  <w:style w:type="character" w:customStyle="1" w:styleId="OdstavekseznamaZnak">
    <w:name w:val="Odstavek seznama Znak"/>
    <w:link w:val="Odstavekseznama"/>
    <w:uiPriority w:val="34"/>
    <w:locked/>
    <w:rsid w:val="003B25CD"/>
    <w:rPr>
      <w:rFonts w:asciiTheme="majorHAnsi" w:hAnsiTheme="majorHAnsi"/>
      <w:sz w:val="24"/>
      <w:szCs w:val="24"/>
    </w:rPr>
  </w:style>
  <w:style w:type="table" w:styleId="Tabelamrea">
    <w:name w:val="Table Grid"/>
    <w:basedOn w:val="Navadnatabela"/>
    <w:uiPriority w:val="39"/>
    <w:rsid w:val="003B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9C25FE"/>
    <w:pPr>
      <w:spacing w:after="0" w:line="240" w:lineRule="auto"/>
    </w:pPr>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82843">
      <w:bodyDiv w:val="1"/>
      <w:marLeft w:val="0"/>
      <w:marRight w:val="0"/>
      <w:marTop w:val="0"/>
      <w:marBottom w:val="0"/>
      <w:divBdr>
        <w:top w:val="none" w:sz="0" w:space="0" w:color="auto"/>
        <w:left w:val="none" w:sz="0" w:space="0" w:color="auto"/>
        <w:bottom w:val="none" w:sz="0" w:space="0" w:color="auto"/>
        <w:right w:val="none" w:sz="0" w:space="0" w:color="auto"/>
      </w:divBdr>
    </w:div>
    <w:div w:id="6922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6" ma:contentTypeDescription="Ustvari nov dokument." ma:contentTypeScope="" ma:versionID="60a2463cfff6d22c2b0de244ae3935c5">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2a380fcf183f8823ff8951e3e43e37a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Props1.xml><?xml version="1.0" encoding="utf-8"?>
<ds:datastoreItem xmlns:ds="http://schemas.openxmlformats.org/officeDocument/2006/customXml" ds:itemID="{BF081E28-8155-42EF-A2B0-5102BB5D146D}"/>
</file>

<file path=customXml/itemProps2.xml><?xml version="1.0" encoding="utf-8"?>
<ds:datastoreItem xmlns:ds="http://schemas.openxmlformats.org/officeDocument/2006/customXml" ds:itemID="{C31788A7-BD67-4BBA-9E25-516F63A3EFDC}">
  <ds:schemaRefs>
    <ds:schemaRef ds:uri="http://schemas.microsoft.com/sharepoint/v3/contenttype/forms"/>
  </ds:schemaRefs>
</ds:datastoreItem>
</file>

<file path=customXml/itemProps3.xml><?xml version="1.0" encoding="utf-8"?>
<ds:datastoreItem xmlns:ds="http://schemas.openxmlformats.org/officeDocument/2006/customXml" ds:itemID="{8D569A08-CD6D-40AE-91A8-785DFC3F55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2661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Bojnec</dc:creator>
  <cp:keywords/>
  <dc:description/>
  <cp:lastModifiedBy>Manuela Bojnec</cp:lastModifiedBy>
  <cp:revision>8</cp:revision>
  <cp:lastPrinted>2020-08-06T07:52:00Z</cp:lastPrinted>
  <dcterms:created xsi:type="dcterms:W3CDTF">2020-07-24T17:15:00Z</dcterms:created>
  <dcterms:modified xsi:type="dcterms:W3CDTF">2020-08-06T08:16:00Z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MediaServiceImageTags">
    <vt:lpwstr/>
  </property>
</Properties>
</file>