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1E6F8" w14:textId="77777777" w:rsidR="0069643F" w:rsidRPr="006D5C52" w:rsidRDefault="0069643F" w:rsidP="0069643F">
      <w:pPr>
        <w:widowControl w:val="0"/>
        <w:autoSpaceDE w:val="0"/>
        <w:autoSpaceDN w:val="0"/>
        <w:adjustRightInd w:val="0"/>
        <w:spacing w:after="0"/>
        <w:jc w:val="center"/>
        <w:rPr>
          <w:rFonts w:asciiTheme="minorHAnsi" w:hAnsiTheme="minorHAnsi" w:cstheme="minorHAnsi"/>
          <w:b/>
          <w:sz w:val="22"/>
          <w:szCs w:val="22"/>
        </w:rPr>
      </w:pPr>
      <w:r w:rsidRPr="006D5C52">
        <w:rPr>
          <w:rFonts w:asciiTheme="minorHAnsi" w:hAnsiTheme="minorHAnsi" w:cstheme="minorHAnsi"/>
          <w:b/>
          <w:sz w:val="22"/>
          <w:szCs w:val="22"/>
        </w:rPr>
        <w:t>Povzetek operacije 4 JP LAS Posavje ESPR</w:t>
      </w:r>
    </w:p>
    <w:p w14:paraId="3706B79F" w14:textId="77777777" w:rsidR="0069643F" w:rsidRPr="006D5C52" w:rsidRDefault="0069643F" w:rsidP="0069643F">
      <w:pPr>
        <w:spacing w:after="0" w:line="240" w:lineRule="auto"/>
        <w:jc w:val="center"/>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Z RIBAMI DO ZDRAVJA</w:t>
      </w:r>
    </w:p>
    <w:p w14:paraId="17BF2E99" w14:textId="77777777" w:rsidR="0069643F" w:rsidRPr="006D5C52" w:rsidRDefault="0069643F" w:rsidP="0069643F">
      <w:pPr>
        <w:pStyle w:val="Odstavekseznama"/>
        <w:numPr>
          <w:ilvl w:val="0"/>
          <w:numId w:val="1"/>
        </w:numPr>
        <w:spacing w:after="0" w:line="240" w:lineRule="auto"/>
        <w:jc w:val="both"/>
        <w:rPr>
          <w:rFonts w:asciiTheme="minorHAnsi" w:eastAsia="Times New Roman" w:hAnsiTheme="minorHAnsi" w:cstheme="minorHAnsi"/>
          <w:b/>
          <w:bCs/>
          <w:color w:val="000000"/>
          <w:sz w:val="22"/>
          <w:szCs w:val="22"/>
          <w:lang w:eastAsia="sl-SI"/>
        </w:rPr>
      </w:pPr>
      <w:r w:rsidRPr="006D5C52">
        <w:rPr>
          <w:rFonts w:asciiTheme="minorHAnsi" w:eastAsia="Times New Roman" w:hAnsiTheme="minorHAnsi" w:cstheme="minorHAnsi"/>
          <w:b/>
          <w:bCs/>
          <w:color w:val="000000"/>
          <w:sz w:val="22"/>
          <w:szCs w:val="22"/>
          <w:lang w:eastAsia="sl-SI"/>
        </w:rPr>
        <w:t>Povzetek operacije</w:t>
      </w:r>
    </w:p>
    <w:p w14:paraId="1C6B6346" w14:textId="77777777" w:rsidR="0069643F" w:rsidRPr="006D5C52" w:rsidRDefault="0069643F" w:rsidP="0069643F">
      <w:pPr>
        <w:pStyle w:val="Odstavekseznama"/>
        <w:spacing w:after="0" w:line="240" w:lineRule="auto"/>
        <w:jc w:val="both"/>
        <w:rPr>
          <w:rFonts w:asciiTheme="minorHAnsi" w:eastAsia="Times New Roman" w:hAnsiTheme="minorHAnsi" w:cstheme="minorHAnsi"/>
          <w:b/>
          <w:bCs/>
          <w:color w:val="000000"/>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2997"/>
        <w:gridCol w:w="2340"/>
      </w:tblGrid>
      <w:tr w:rsidR="0069643F" w:rsidRPr="006D5C52" w14:paraId="0DC68C18" w14:textId="77777777" w:rsidTr="007C0158">
        <w:tc>
          <w:tcPr>
            <w:tcW w:w="0" w:type="auto"/>
            <w:shd w:val="clear" w:color="auto" w:fill="D9D9D9" w:themeFill="background1" w:themeFillShade="D9"/>
          </w:tcPr>
          <w:p w14:paraId="5ECC370A"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Zaporedna št. vloge</w:t>
            </w:r>
          </w:p>
        </w:tc>
        <w:tc>
          <w:tcPr>
            <w:tcW w:w="0" w:type="auto"/>
            <w:gridSpan w:val="2"/>
          </w:tcPr>
          <w:p w14:paraId="5B6866D4"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1/ESPR</w:t>
            </w:r>
          </w:p>
          <w:p w14:paraId="4F3DB7F2"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r w:rsidR="0069643F" w:rsidRPr="006D5C52" w14:paraId="7F10F07D" w14:textId="77777777" w:rsidTr="007C0158">
        <w:tc>
          <w:tcPr>
            <w:tcW w:w="0" w:type="auto"/>
            <w:shd w:val="clear" w:color="auto" w:fill="D9D9D9" w:themeFill="background1" w:themeFillShade="D9"/>
          </w:tcPr>
          <w:p w14:paraId="14F92BA5"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Tematsko področje</w:t>
            </w:r>
          </w:p>
          <w:p w14:paraId="360C11E3"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p>
        </w:tc>
        <w:tc>
          <w:tcPr>
            <w:tcW w:w="0" w:type="auto"/>
            <w:gridSpan w:val="2"/>
          </w:tcPr>
          <w:p w14:paraId="08170D1B"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VARSTVO OKOLJA IN OHRANJANJE NARAVE</w:t>
            </w:r>
          </w:p>
          <w:p w14:paraId="775E7DE7"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p>
        </w:tc>
      </w:tr>
      <w:tr w:rsidR="0069643F" w:rsidRPr="006D5C52" w14:paraId="324D40AA" w14:textId="77777777" w:rsidTr="007C0158">
        <w:tc>
          <w:tcPr>
            <w:tcW w:w="0" w:type="auto"/>
            <w:shd w:val="clear" w:color="auto" w:fill="D9D9D9" w:themeFill="background1" w:themeFillShade="D9"/>
          </w:tcPr>
          <w:p w14:paraId="47E6E911"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Ukrep</w:t>
            </w:r>
          </w:p>
        </w:tc>
        <w:tc>
          <w:tcPr>
            <w:tcW w:w="0" w:type="auto"/>
            <w:gridSpan w:val="2"/>
          </w:tcPr>
          <w:p w14:paraId="0087FC2F"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U5: Izboljšanje stanje okolja</w:t>
            </w:r>
          </w:p>
          <w:p w14:paraId="7BE243BA"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p>
        </w:tc>
      </w:tr>
      <w:tr w:rsidR="0069643F" w:rsidRPr="006D5C52" w14:paraId="213C025E" w14:textId="77777777" w:rsidTr="007C0158">
        <w:tc>
          <w:tcPr>
            <w:tcW w:w="0" w:type="auto"/>
            <w:shd w:val="clear" w:color="auto" w:fill="D9D9D9" w:themeFill="background1" w:themeFillShade="D9"/>
          </w:tcPr>
          <w:p w14:paraId="7BC4D805"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Akronim operacije</w:t>
            </w:r>
          </w:p>
        </w:tc>
        <w:tc>
          <w:tcPr>
            <w:tcW w:w="0" w:type="auto"/>
            <w:gridSpan w:val="2"/>
          </w:tcPr>
          <w:p w14:paraId="49A04282"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Z ribami do zdravja</w:t>
            </w:r>
          </w:p>
          <w:p w14:paraId="24245776"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r w:rsidR="0069643F" w:rsidRPr="006D5C52" w14:paraId="2C85A235" w14:textId="77777777" w:rsidTr="007C0158">
        <w:tc>
          <w:tcPr>
            <w:tcW w:w="0" w:type="auto"/>
            <w:shd w:val="clear" w:color="auto" w:fill="D9D9D9" w:themeFill="background1" w:themeFillShade="D9"/>
          </w:tcPr>
          <w:p w14:paraId="163381FB"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Naziv operacije</w:t>
            </w:r>
          </w:p>
          <w:p w14:paraId="510E25A4"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p>
        </w:tc>
        <w:tc>
          <w:tcPr>
            <w:tcW w:w="0" w:type="auto"/>
            <w:gridSpan w:val="2"/>
          </w:tcPr>
          <w:p w14:paraId="26C6EBE8"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Ribe in okolje</w:t>
            </w:r>
          </w:p>
          <w:p w14:paraId="3854E944"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r w:rsidR="00563399" w:rsidRPr="006D5C52" w14:paraId="6623CC7F" w14:textId="11FAA433" w:rsidTr="007C0158">
        <w:tc>
          <w:tcPr>
            <w:tcW w:w="0" w:type="auto"/>
            <w:shd w:val="clear" w:color="auto" w:fill="D9D9D9" w:themeFill="background1" w:themeFillShade="D9"/>
          </w:tcPr>
          <w:p w14:paraId="1DAC9031" w14:textId="77777777" w:rsidR="00563399" w:rsidRPr="006D5C52" w:rsidRDefault="00563399"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Naziv vlagatelja</w:t>
            </w:r>
          </w:p>
          <w:p w14:paraId="00245F7A" w14:textId="77777777" w:rsidR="00563399" w:rsidRPr="006D5C52" w:rsidRDefault="00563399" w:rsidP="005B2979">
            <w:pPr>
              <w:spacing w:after="0" w:line="240" w:lineRule="auto"/>
              <w:jc w:val="both"/>
              <w:rPr>
                <w:rFonts w:asciiTheme="minorHAnsi" w:eastAsia="Times New Roman" w:hAnsiTheme="minorHAnsi" w:cstheme="minorHAnsi"/>
                <w:b/>
                <w:bCs/>
                <w:sz w:val="22"/>
                <w:szCs w:val="22"/>
                <w:lang w:eastAsia="sl-SI"/>
              </w:rPr>
            </w:pPr>
          </w:p>
        </w:tc>
        <w:tc>
          <w:tcPr>
            <w:tcW w:w="2997" w:type="dxa"/>
          </w:tcPr>
          <w:p w14:paraId="0E6F7D3A" w14:textId="77777777" w:rsidR="00563399" w:rsidRPr="006D5C52" w:rsidRDefault="00563399"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Občina Sevnica</w:t>
            </w:r>
          </w:p>
        </w:tc>
        <w:tc>
          <w:tcPr>
            <w:tcW w:w="2340" w:type="dxa"/>
          </w:tcPr>
          <w:p w14:paraId="5779ED0D" w14:textId="386C880F" w:rsidR="00563399" w:rsidRPr="006D5C52" w:rsidRDefault="003A38CE" w:rsidP="00563399">
            <w:pPr>
              <w:spacing w:after="0" w:line="240" w:lineRule="auto"/>
              <w:jc w:val="both"/>
              <w:rPr>
                <w:rFonts w:asciiTheme="minorHAnsi" w:eastAsia="Times New Roman" w:hAnsiTheme="minorHAnsi" w:cstheme="minorHAnsi"/>
                <w:b/>
                <w:sz w:val="22"/>
                <w:szCs w:val="22"/>
                <w:lang w:eastAsia="sl-SI"/>
              </w:rPr>
            </w:pPr>
            <w:r w:rsidRPr="003A38CE">
              <w:rPr>
                <w:rFonts w:asciiTheme="minorHAnsi" w:eastAsia="Times New Roman" w:hAnsiTheme="minorHAnsi" w:cstheme="minorHAnsi"/>
                <w:b/>
                <w:sz w:val="22"/>
                <w:szCs w:val="22"/>
                <w:lang w:eastAsia="sl-SI"/>
              </w:rPr>
              <w:t>117.967,06 €</w:t>
            </w:r>
          </w:p>
        </w:tc>
      </w:tr>
      <w:tr w:rsidR="00563399" w:rsidRPr="006D5C52" w14:paraId="6157474F" w14:textId="71C124C7" w:rsidTr="007C0158">
        <w:tc>
          <w:tcPr>
            <w:tcW w:w="0" w:type="auto"/>
            <w:shd w:val="clear" w:color="auto" w:fill="D9D9D9" w:themeFill="background1" w:themeFillShade="D9"/>
          </w:tcPr>
          <w:p w14:paraId="066915B7" w14:textId="77777777" w:rsidR="00563399" w:rsidRPr="006D5C52" w:rsidRDefault="00563399"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Naziv partnerjev</w:t>
            </w:r>
          </w:p>
          <w:p w14:paraId="0872B08D" w14:textId="77777777" w:rsidR="00563399" w:rsidRPr="006D5C52" w:rsidRDefault="00563399" w:rsidP="005B2979">
            <w:pPr>
              <w:spacing w:after="0" w:line="240" w:lineRule="auto"/>
              <w:jc w:val="both"/>
              <w:rPr>
                <w:rFonts w:asciiTheme="minorHAnsi" w:eastAsia="Times New Roman" w:hAnsiTheme="minorHAnsi" w:cstheme="minorHAnsi"/>
                <w:b/>
                <w:bCs/>
                <w:sz w:val="22"/>
                <w:szCs w:val="22"/>
                <w:lang w:eastAsia="sl-SI"/>
              </w:rPr>
            </w:pPr>
          </w:p>
        </w:tc>
        <w:tc>
          <w:tcPr>
            <w:tcW w:w="2997" w:type="dxa"/>
          </w:tcPr>
          <w:p w14:paraId="1B55EC96" w14:textId="168002C9" w:rsidR="00243C3E" w:rsidRDefault="00243C3E" w:rsidP="00243C3E">
            <w:pPr>
              <w:spacing w:after="0" w:line="240" w:lineRule="auto"/>
              <w:jc w:val="both"/>
              <w:rPr>
                <w:rFonts w:asciiTheme="minorHAnsi" w:eastAsia="Times New Roman" w:hAnsiTheme="minorHAnsi" w:cstheme="minorHAnsi"/>
                <w:b/>
                <w:sz w:val="22"/>
                <w:szCs w:val="22"/>
                <w:lang w:eastAsia="sl-SI"/>
              </w:rPr>
            </w:pPr>
            <w:r w:rsidRPr="00243C3E">
              <w:rPr>
                <w:rFonts w:asciiTheme="minorHAnsi" w:eastAsia="Times New Roman" w:hAnsiTheme="minorHAnsi" w:cstheme="minorHAnsi"/>
                <w:b/>
                <w:sz w:val="22"/>
                <w:szCs w:val="22"/>
                <w:lang w:eastAsia="sl-SI"/>
              </w:rPr>
              <w:t>KŠTM Sevnica</w:t>
            </w:r>
          </w:p>
          <w:p w14:paraId="4A62022B" w14:textId="7F0C5359" w:rsidR="00243C3E" w:rsidRDefault="00243C3E" w:rsidP="00243C3E">
            <w:pPr>
              <w:spacing w:after="0" w:line="240" w:lineRule="auto"/>
              <w:jc w:val="both"/>
              <w:rPr>
                <w:rFonts w:asciiTheme="minorHAnsi" w:eastAsia="Times New Roman" w:hAnsiTheme="minorHAnsi" w:cstheme="minorHAnsi"/>
                <w:b/>
                <w:sz w:val="22"/>
                <w:szCs w:val="22"/>
                <w:lang w:eastAsia="sl-SI"/>
              </w:rPr>
            </w:pPr>
            <w:r w:rsidRPr="00243C3E">
              <w:rPr>
                <w:rFonts w:asciiTheme="minorHAnsi" w:eastAsia="Times New Roman" w:hAnsiTheme="minorHAnsi" w:cstheme="minorHAnsi"/>
                <w:b/>
                <w:sz w:val="22"/>
                <w:szCs w:val="22"/>
                <w:lang w:eastAsia="sl-SI"/>
              </w:rPr>
              <w:t>AKVAL d.o.o.</w:t>
            </w:r>
          </w:p>
          <w:p w14:paraId="172E2BE9" w14:textId="2CFA16FF" w:rsidR="00563399" w:rsidRPr="006D5C52" w:rsidRDefault="00243C3E" w:rsidP="00243C3E">
            <w:pPr>
              <w:spacing w:after="0" w:line="240" w:lineRule="auto"/>
              <w:jc w:val="both"/>
              <w:rPr>
                <w:rFonts w:asciiTheme="minorHAnsi" w:eastAsia="Times New Roman" w:hAnsiTheme="minorHAnsi" w:cstheme="minorHAnsi"/>
                <w:b/>
                <w:sz w:val="22"/>
                <w:szCs w:val="22"/>
                <w:lang w:eastAsia="sl-SI"/>
              </w:rPr>
            </w:pPr>
            <w:r w:rsidRPr="00243C3E">
              <w:rPr>
                <w:rFonts w:asciiTheme="minorHAnsi" w:eastAsia="Times New Roman" w:hAnsiTheme="minorHAnsi" w:cstheme="minorHAnsi"/>
                <w:b/>
                <w:sz w:val="22"/>
                <w:szCs w:val="22"/>
                <w:lang w:eastAsia="sl-SI"/>
              </w:rPr>
              <w:t>Športno kulturno društvo Mini kraljestvo</w:t>
            </w:r>
          </w:p>
        </w:tc>
        <w:tc>
          <w:tcPr>
            <w:tcW w:w="2340" w:type="dxa"/>
          </w:tcPr>
          <w:p w14:paraId="49FACF56" w14:textId="77777777" w:rsidR="007C0158" w:rsidRPr="007C0158" w:rsidRDefault="007C0158" w:rsidP="007C0158">
            <w:pPr>
              <w:pStyle w:val="Brezrazmikov"/>
              <w:rPr>
                <w:b/>
                <w:bCs/>
                <w:sz w:val="22"/>
                <w:szCs w:val="22"/>
                <w:lang w:eastAsia="sl-SI"/>
              </w:rPr>
            </w:pPr>
            <w:r w:rsidRPr="007C0158">
              <w:rPr>
                <w:b/>
                <w:bCs/>
                <w:sz w:val="22"/>
                <w:szCs w:val="22"/>
                <w:lang w:eastAsia="sl-SI"/>
              </w:rPr>
              <w:t>2.805,00 €</w:t>
            </w:r>
          </w:p>
          <w:p w14:paraId="35F0E3B8" w14:textId="77777777" w:rsidR="007C0158" w:rsidRPr="007C0158" w:rsidRDefault="007C0158" w:rsidP="007C0158">
            <w:pPr>
              <w:pStyle w:val="Brezrazmikov"/>
              <w:rPr>
                <w:b/>
                <w:bCs/>
                <w:sz w:val="22"/>
                <w:szCs w:val="22"/>
                <w:lang w:eastAsia="sl-SI"/>
              </w:rPr>
            </w:pPr>
            <w:r w:rsidRPr="007C0158">
              <w:rPr>
                <w:b/>
                <w:bCs/>
                <w:sz w:val="22"/>
                <w:szCs w:val="22"/>
                <w:lang w:eastAsia="sl-SI"/>
              </w:rPr>
              <w:t>46.677,75 €</w:t>
            </w:r>
          </w:p>
          <w:p w14:paraId="2E9D84D4" w14:textId="755CDCA3" w:rsidR="00563399" w:rsidRPr="007C0158" w:rsidRDefault="007C0158" w:rsidP="007C0158">
            <w:pPr>
              <w:pStyle w:val="Brezrazmikov"/>
              <w:rPr>
                <w:b/>
                <w:bCs/>
                <w:sz w:val="22"/>
                <w:szCs w:val="22"/>
                <w:lang w:eastAsia="sl-SI"/>
              </w:rPr>
            </w:pPr>
            <w:r w:rsidRPr="007C0158">
              <w:rPr>
                <w:b/>
                <w:bCs/>
                <w:sz w:val="22"/>
                <w:szCs w:val="22"/>
                <w:lang w:eastAsia="sl-SI"/>
              </w:rPr>
              <w:t>2.550,00 €</w:t>
            </w:r>
          </w:p>
          <w:p w14:paraId="19ACDD35" w14:textId="77777777" w:rsidR="00563399" w:rsidRPr="007C0158" w:rsidRDefault="00563399" w:rsidP="007C0158">
            <w:pPr>
              <w:pStyle w:val="Brezrazmikov"/>
              <w:rPr>
                <w:b/>
                <w:bCs/>
                <w:sz w:val="22"/>
                <w:szCs w:val="22"/>
                <w:lang w:eastAsia="sl-SI"/>
              </w:rPr>
            </w:pPr>
          </w:p>
        </w:tc>
      </w:tr>
      <w:tr w:rsidR="0069643F" w:rsidRPr="006D5C52" w14:paraId="79B940DB" w14:textId="77777777" w:rsidTr="007C015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78E58"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Skupna vrednost celotne operacije</w:t>
            </w:r>
          </w:p>
        </w:tc>
        <w:tc>
          <w:tcPr>
            <w:tcW w:w="0" w:type="auto"/>
            <w:gridSpan w:val="2"/>
            <w:tcBorders>
              <w:top w:val="single" w:sz="4" w:space="0" w:color="auto"/>
              <w:left w:val="single" w:sz="4" w:space="0" w:color="auto"/>
              <w:bottom w:val="single" w:sz="4" w:space="0" w:color="auto"/>
              <w:right w:val="single" w:sz="4" w:space="0" w:color="auto"/>
            </w:tcBorders>
          </w:tcPr>
          <w:p w14:paraId="01174B69" w14:textId="77777777" w:rsidR="0069643F" w:rsidRDefault="0069643F"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317.526,16 €</w:t>
            </w:r>
          </w:p>
          <w:p w14:paraId="75FCAE57" w14:textId="0ED79FBA" w:rsidR="00CA69FA" w:rsidRPr="006D5C52" w:rsidRDefault="00CA69FA" w:rsidP="005B2979">
            <w:pPr>
              <w:spacing w:after="0" w:line="240" w:lineRule="auto"/>
              <w:jc w:val="both"/>
              <w:rPr>
                <w:rFonts w:asciiTheme="minorHAnsi" w:eastAsia="Times New Roman" w:hAnsiTheme="minorHAnsi" w:cstheme="minorHAnsi"/>
                <w:b/>
                <w:sz w:val="22"/>
                <w:szCs w:val="22"/>
                <w:lang w:eastAsia="sl-SI"/>
              </w:rPr>
            </w:pPr>
          </w:p>
        </w:tc>
      </w:tr>
      <w:tr w:rsidR="0069643F" w:rsidRPr="006D5C52" w14:paraId="20FC30F5" w14:textId="77777777" w:rsidTr="007C015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9F822"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hAnsiTheme="minorHAnsi" w:cstheme="minorHAnsi"/>
                <w:b/>
                <w:sz w:val="22"/>
                <w:szCs w:val="22"/>
              </w:rPr>
              <w:t>Stopnja sofinanciranja</w:t>
            </w:r>
          </w:p>
        </w:tc>
        <w:tc>
          <w:tcPr>
            <w:tcW w:w="0" w:type="auto"/>
            <w:gridSpan w:val="2"/>
            <w:tcBorders>
              <w:top w:val="single" w:sz="4" w:space="0" w:color="auto"/>
              <w:left w:val="single" w:sz="4" w:space="0" w:color="auto"/>
              <w:bottom w:val="single" w:sz="4" w:space="0" w:color="auto"/>
              <w:right w:val="single" w:sz="4" w:space="0" w:color="auto"/>
            </w:tcBorders>
          </w:tcPr>
          <w:p w14:paraId="5AB123D1"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sz w:val="22"/>
                <w:szCs w:val="22"/>
                <w:lang w:eastAsia="sl-SI"/>
              </w:rPr>
              <w:t>85 %</w:t>
            </w:r>
          </w:p>
          <w:p w14:paraId="58B7DF3E"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r w:rsidR="0069643F" w:rsidRPr="006D5C52" w14:paraId="24928BDB" w14:textId="77777777" w:rsidTr="007C015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EDBE8"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Višina sofinanciranja</w:t>
            </w:r>
          </w:p>
        </w:tc>
        <w:tc>
          <w:tcPr>
            <w:tcW w:w="0" w:type="auto"/>
            <w:gridSpan w:val="2"/>
            <w:tcBorders>
              <w:top w:val="single" w:sz="4" w:space="0" w:color="auto"/>
              <w:left w:val="single" w:sz="4" w:space="0" w:color="auto"/>
              <w:bottom w:val="single" w:sz="4" w:space="0" w:color="auto"/>
              <w:right w:val="single" w:sz="4" w:space="0" w:color="auto"/>
            </w:tcBorders>
          </w:tcPr>
          <w:p w14:paraId="37770FE6" w14:textId="77777777" w:rsidR="0069643F" w:rsidRPr="006D5C52" w:rsidRDefault="0069643F" w:rsidP="005B2979">
            <w:pPr>
              <w:spacing w:after="0" w:line="240" w:lineRule="auto"/>
              <w:jc w:val="both"/>
              <w:rPr>
                <w:rFonts w:asciiTheme="minorHAnsi" w:hAnsiTheme="minorHAnsi" w:cstheme="minorHAnsi"/>
                <w:b/>
                <w:bCs/>
                <w:color w:val="000000"/>
                <w:sz w:val="22"/>
                <w:szCs w:val="22"/>
              </w:rPr>
            </w:pPr>
            <w:r w:rsidRPr="006D5C52">
              <w:rPr>
                <w:rFonts w:asciiTheme="minorHAnsi" w:hAnsiTheme="minorHAnsi" w:cstheme="minorHAnsi"/>
                <w:b/>
                <w:bCs/>
                <w:color w:val="000000"/>
                <w:sz w:val="22"/>
                <w:szCs w:val="22"/>
              </w:rPr>
              <w:t>169.999,81 €</w:t>
            </w:r>
          </w:p>
          <w:p w14:paraId="6DA9C25E"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r w:rsidR="0069643F" w:rsidRPr="006D5C52" w14:paraId="11EA343E" w14:textId="77777777" w:rsidTr="007C0158">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C2634" w14:textId="77777777" w:rsidR="0069643F" w:rsidRPr="006D5C52" w:rsidRDefault="0069643F" w:rsidP="005B2979">
            <w:pPr>
              <w:spacing w:after="0" w:line="240" w:lineRule="auto"/>
              <w:jc w:val="both"/>
              <w:rPr>
                <w:rFonts w:asciiTheme="minorHAnsi" w:eastAsia="Times New Roman" w:hAnsiTheme="minorHAnsi" w:cstheme="minorHAnsi"/>
                <w:b/>
                <w:bCs/>
                <w:sz w:val="22"/>
                <w:szCs w:val="22"/>
                <w:lang w:eastAsia="sl-SI"/>
              </w:rPr>
            </w:pPr>
            <w:r w:rsidRPr="006D5C52">
              <w:rPr>
                <w:rFonts w:asciiTheme="minorHAnsi" w:eastAsia="Times New Roman" w:hAnsiTheme="minorHAnsi" w:cstheme="minorHAnsi"/>
                <w:b/>
                <w:bCs/>
                <w:sz w:val="22"/>
                <w:szCs w:val="22"/>
                <w:lang w:eastAsia="sl-SI"/>
              </w:rPr>
              <w:t>Trajanje operacije</w:t>
            </w:r>
          </w:p>
        </w:tc>
        <w:tc>
          <w:tcPr>
            <w:tcW w:w="0" w:type="auto"/>
            <w:gridSpan w:val="2"/>
            <w:tcBorders>
              <w:top w:val="single" w:sz="4" w:space="0" w:color="auto"/>
              <w:left w:val="single" w:sz="4" w:space="0" w:color="auto"/>
              <w:bottom w:val="single" w:sz="4" w:space="0" w:color="auto"/>
              <w:right w:val="single" w:sz="4" w:space="0" w:color="auto"/>
            </w:tcBorders>
          </w:tcPr>
          <w:p w14:paraId="5E2263F8" w14:textId="6E2FA0F9" w:rsidR="0069643F" w:rsidRPr="006D5C52" w:rsidRDefault="000E7962" w:rsidP="00CA69FA">
            <w:pPr>
              <w:pStyle w:val="Odstavekseznama"/>
              <w:numPr>
                <w:ilvl w:val="0"/>
                <w:numId w:val="4"/>
              </w:numPr>
              <w:spacing w:after="0" w:line="240" w:lineRule="auto"/>
              <w:jc w:val="both"/>
              <w:rPr>
                <w:rFonts w:asciiTheme="minorHAnsi" w:eastAsia="Times New Roman" w:hAnsiTheme="minorHAnsi" w:cstheme="minorHAnsi"/>
                <w:b/>
                <w:sz w:val="22"/>
                <w:szCs w:val="22"/>
                <w:lang w:eastAsia="sl-SI"/>
              </w:rPr>
            </w:pPr>
            <w:r>
              <w:rPr>
                <w:rFonts w:asciiTheme="minorHAnsi" w:eastAsia="Times New Roman" w:hAnsiTheme="minorHAnsi" w:cstheme="minorHAnsi"/>
                <w:b/>
                <w:sz w:val="22"/>
                <w:szCs w:val="22"/>
                <w:lang w:eastAsia="sl-SI"/>
              </w:rPr>
              <w:t>m</w:t>
            </w:r>
            <w:r w:rsidR="0069643F" w:rsidRPr="006D5C52">
              <w:rPr>
                <w:rFonts w:asciiTheme="minorHAnsi" w:eastAsia="Times New Roman" w:hAnsiTheme="minorHAnsi" w:cstheme="minorHAnsi"/>
                <w:b/>
                <w:sz w:val="22"/>
                <w:szCs w:val="22"/>
                <w:lang w:eastAsia="sl-SI"/>
              </w:rPr>
              <w:t>esecev</w:t>
            </w:r>
            <w:r w:rsidR="0069643F" w:rsidRPr="006D5C52">
              <w:rPr>
                <w:rFonts w:asciiTheme="minorHAnsi" w:eastAsia="Times New Roman" w:hAnsiTheme="minorHAnsi" w:cstheme="minorHAnsi"/>
                <w:b/>
                <w:sz w:val="22"/>
                <w:szCs w:val="22"/>
                <w:lang w:eastAsia="sl-SI"/>
              </w:rPr>
              <w:tab/>
              <w:t xml:space="preserve"> (15.01.2021 - 14.01.2022)</w:t>
            </w:r>
            <w:r w:rsidR="0069643F" w:rsidRPr="006D5C52">
              <w:rPr>
                <w:rFonts w:asciiTheme="minorHAnsi" w:eastAsia="Times New Roman" w:hAnsiTheme="minorHAnsi" w:cstheme="minorHAnsi"/>
                <w:b/>
                <w:sz w:val="22"/>
                <w:szCs w:val="22"/>
                <w:lang w:eastAsia="sl-SI"/>
              </w:rPr>
              <w:tab/>
              <w:t xml:space="preserve"> </w:t>
            </w:r>
          </w:p>
          <w:p w14:paraId="6861FB15" w14:textId="77777777" w:rsidR="0069643F" w:rsidRPr="006D5C52" w:rsidRDefault="0069643F" w:rsidP="005B2979">
            <w:pPr>
              <w:spacing w:after="0" w:line="240" w:lineRule="auto"/>
              <w:jc w:val="both"/>
              <w:rPr>
                <w:rFonts w:asciiTheme="minorHAnsi" w:eastAsia="Times New Roman" w:hAnsiTheme="minorHAnsi" w:cstheme="minorHAnsi"/>
                <w:b/>
                <w:sz w:val="22"/>
                <w:szCs w:val="22"/>
                <w:lang w:eastAsia="sl-SI"/>
              </w:rPr>
            </w:pPr>
          </w:p>
        </w:tc>
      </w:tr>
    </w:tbl>
    <w:p w14:paraId="60E2D94E" w14:textId="77777777" w:rsidR="00745478" w:rsidRPr="006D5C52" w:rsidRDefault="00745478">
      <w:pPr>
        <w:rPr>
          <w:rFonts w:asciiTheme="minorHAnsi" w:hAnsiTheme="minorHAnsi" w:cstheme="minorHAnsi"/>
          <w:sz w:val="22"/>
          <w:szCs w:val="22"/>
        </w:rPr>
      </w:pPr>
    </w:p>
    <w:p w14:paraId="79B77AAC" w14:textId="77777777" w:rsidR="0069643F" w:rsidRDefault="0069643F" w:rsidP="0069643F">
      <w:pPr>
        <w:pStyle w:val="Odstavekseznama"/>
        <w:widowControl w:val="0"/>
        <w:numPr>
          <w:ilvl w:val="0"/>
          <w:numId w:val="1"/>
        </w:numPr>
        <w:autoSpaceDE w:val="0"/>
        <w:autoSpaceDN w:val="0"/>
        <w:adjustRightInd w:val="0"/>
        <w:spacing w:after="0" w:line="240" w:lineRule="auto"/>
        <w:jc w:val="both"/>
        <w:rPr>
          <w:rFonts w:asciiTheme="minorHAnsi" w:hAnsiTheme="minorHAnsi" w:cstheme="minorHAnsi"/>
          <w:b/>
          <w:bCs/>
          <w:sz w:val="22"/>
          <w:szCs w:val="22"/>
        </w:rPr>
      </w:pPr>
      <w:r w:rsidRPr="006D5C52">
        <w:rPr>
          <w:rFonts w:asciiTheme="minorHAnsi" w:hAnsiTheme="minorHAnsi" w:cstheme="minorHAnsi"/>
          <w:b/>
          <w:bCs/>
          <w:sz w:val="22"/>
          <w:szCs w:val="22"/>
        </w:rPr>
        <w:t>Opis operacije</w:t>
      </w:r>
    </w:p>
    <w:p w14:paraId="0EEA038F" w14:textId="77777777" w:rsidR="006D5C52" w:rsidRPr="006D5C52" w:rsidRDefault="006D5C52" w:rsidP="006D5C52">
      <w:pPr>
        <w:pStyle w:val="Odstavekseznama"/>
        <w:widowControl w:val="0"/>
        <w:autoSpaceDE w:val="0"/>
        <w:autoSpaceDN w:val="0"/>
        <w:adjustRightInd w:val="0"/>
        <w:spacing w:after="0" w:line="240" w:lineRule="auto"/>
        <w:jc w:val="both"/>
        <w:rPr>
          <w:rFonts w:asciiTheme="minorHAnsi" w:hAnsiTheme="minorHAnsi" w:cstheme="minorHAnsi"/>
          <w:b/>
          <w:bCs/>
          <w:sz w:val="22"/>
          <w:szCs w:val="22"/>
        </w:rPr>
      </w:pPr>
    </w:p>
    <w:tbl>
      <w:tblPr>
        <w:tblStyle w:val="Tabelamrea"/>
        <w:tblW w:w="0" w:type="auto"/>
        <w:tblLook w:val="04A0" w:firstRow="1" w:lastRow="0" w:firstColumn="1" w:lastColumn="0" w:noHBand="0" w:noVBand="1"/>
      </w:tblPr>
      <w:tblGrid>
        <w:gridCol w:w="9062"/>
      </w:tblGrid>
      <w:tr w:rsidR="0069643F" w:rsidRPr="006D5C52" w14:paraId="419E19C4" w14:textId="77777777" w:rsidTr="006D5C52">
        <w:trPr>
          <w:trHeight w:val="3524"/>
        </w:trPr>
        <w:tc>
          <w:tcPr>
            <w:tcW w:w="9062" w:type="dxa"/>
          </w:tcPr>
          <w:p w14:paraId="42974E28" w14:textId="77777777" w:rsidR="0069643F" w:rsidRPr="006D5C52" w:rsidRDefault="0069643F" w:rsidP="00747573">
            <w:pPr>
              <w:rPr>
                <w:rFonts w:asciiTheme="minorHAnsi" w:hAnsiTheme="minorHAnsi" w:cstheme="minorHAnsi"/>
                <w:sz w:val="22"/>
                <w:szCs w:val="22"/>
              </w:rPr>
            </w:pPr>
            <w:r w:rsidRPr="006D5C52">
              <w:rPr>
                <w:rFonts w:asciiTheme="minorHAnsi" w:hAnsiTheme="minorHAnsi" w:cstheme="minorHAnsi"/>
                <w:sz w:val="22"/>
                <w:szCs w:val="22"/>
              </w:rPr>
              <w:t xml:space="preserve">Občina Sevnica bo obnovila etažo mansarde objekta Tončkovega doma na Lisci in tam uredila nastanitvene prostore, uredila razstavni prostor in prostor za druženje. K novo obnovljenim prostorom bo pomembno prispeval tudi agregat z nadgradnjo delovanja na odpadno jedilno olje, kar je pomemben </w:t>
            </w:r>
            <w:proofErr w:type="spellStart"/>
            <w:r w:rsidRPr="006D5C52">
              <w:rPr>
                <w:rFonts w:asciiTheme="minorHAnsi" w:hAnsiTheme="minorHAnsi" w:cstheme="minorHAnsi"/>
                <w:sz w:val="22"/>
                <w:szCs w:val="22"/>
              </w:rPr>
              <w:t>okoljski</w:t>
            </w:r>
            <w:proofErr w:type="spellEnd"/>
            <w:r w:rsidRPr="006D5C52">
              <w:rPr>
                <w:rFonts w:asciiTheme="minorHAnsi" w:hAnsiTheme="minorHAnsi" w:cstheme="minorHAnsi"/>
                <w:sz w:val="22"/>
                <w:szCs w:val="22"/>
              </w:rPr>
              <w:t xml:space="preserve"> vidik operacije. V okviru operacije bodo izvedene kulinarične delavnice, animacije za skupini VDC in Ozara ter za otroke posavskih šol. Otroci bodo skozi različne elemente igre in izkustvenega učenja spoznavali vodne ekosisteme, ribe v kulinariki, rabo odpadnih surovin. Pripravljena bo spletna aplikacija za interaktivno iskanje zakladov » Z ribami do zdravja«, ki bo dopolnila animacijo skupin ob obisku. </w:t>
            </w:r>
            <w:proofErr w:type="spellStart"/>
            <w:r w:rsidRPr="006D5C52">
              <w:rPr>
                <w:rFonts w:asciiTheme="minorHAnsi" w:hAnsiTheme="minorHAnsi" w:cstheme="minorHAnsi"/>
                <w:sz w:val="22"/>
                <w:szCs w:val="22"/>
              </w:rPr>
              <w:t>Akval</w:t>
            </w:r>
            <w:proofErr w:type="spellEnd"/>
            <w:r w:rsidRPr="006D5C52">
              <w:rPr>
                <w:rFonts w:asciiTheme="minorHAnsi" w:hAnsiTheme="minorHAnsi" w:cstheme="minorHAnsi"/>
                <w:sz w:val="22"/>
                <w:szCs w:val="22"/>
              </w:rPr>
              <w:t xml:space="preserve"> d.o.o. bo ustvaril novo delovno mesto v projektu in v okviru podjetja izvajal različne naloge ribogojstva. Avtomatiziral bo delo na ribogojnici in tako delo opravili hitreje, učinkovitejše ter zmanjšal vpliv na habitate. Organiziral bo oglede ribogojnice, izvedel kulinarične delavnice in pripravil recepture.</w:t>
            </w:r>
          </w:p>
        </w:tc>
      </w:tr>
    </w:tbl>
    <w:p w14:paraId="694F47BF" w14:textId="77777777" w:rsidR="006D5C52" w:rsidRDefault="006D5C52" w:rsidP="006D5C52">
      <w:pPr>
        <w:pStyle w:val="Odstavekseznama"/>
        <w:rPr>
          <w:rFonts w:asciiTheme="minorHAnsi" w:hAnsiTheme="minorHAnsi" w:cstheme="minorHAnsi"/>
          <w:b/>
          <w:bCs/>
          <w:sz w:val="22"/>
          <w:szCs w:val="22"/>
        </w:rPr>
      </w:pPr>
    </w:p>
    <w:p w14:paraId="21805889" w14:textId="77777777" w:rsidR="0069643F" w:rsidRPr="006D5C52" w:rsidRDefault="006D5C52" w:rsidP="006D5C52">
      <w:pPr>
        <w:pStyle w:val="Odstavekseznama"/>
        <w:numPr>
          <w:ilvl w:val="0"/>
          <w:numId w:val="1"/>
        </w:numPr>
        <w:rPr>
          <w:rFonts w:asciiTheme="minorHAnsi" w:hAnsiTheme="minorHAnsi" w:cstheme="minorHAnsi"/>
          <w:b/>
          <w:bCs/>
          <w:sz w:val="22"/>
          <w:szCs w:val="22"/>
        </w:rPr>
      </w:pPr>
      <w:r w:rsidRPr="006D5C52">
        <w:rPr>
          <w:rFonts w:asciiTheme="minorHAnsi" w:hAnsiTheme="minorHAnsi" w:cstheme="minorHAnsi"/>
          <w:b/>
          <w:bCs/>
          <w:sz w:val="22"/>
          <w:szCs w:val="22"/>
        </w:rPr>
        <w:lastRenderedPageBreak/>
        <w:t>Cilji operacije</w:t>
      </w:r>
    </w:p>
    <w:tbl>
      <w:tblPr>
        <w:tblStyle w:val="Tabelamrea"/>
        <w:tblW w:w="0" w:type="auto"/>
        <w:tblInd w:w="-5" w:type="dxa"/>
        <w:tblLook w:val="04A0" w:firstRow="1" w:lastRow="0" w:firstColumn="1" w:lastColumn="0" w:noHBand="0" w:noVBand="1"/>
      </w:tblPr>
      <w:tblGrid>
        <w:gridCol w:w="9067"/>
      </w:tblGrid>
      <w:tr w:rsidR="006D5C52" w:rsidRPr="006D5C52" w14:paraId="0B1BBA54" w14:textId="77777777" w:rsidTr="006D5C52">
        <w:trPr>
          <w:trHeight w:val="10315"/>
        </w:trPr>
        <w:tc>
          <w:tcPr>
            <w:tcW w:w="9067" w:type="dxa"/>
          </w:tcPr>
          <w:p w14:paraId="53D133B2"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1.1: Ustvariti zaposlitvene priložnosti in kakovostna delovna mesta.</w:t>
            </w:r>
            <w:r w:rsidRPr="006D5C52">
              <w:rPr>
                <w:rFonts w:asciiTheme="minorHAnsi" w:eastAsia="Calibri" w:hAnsiTheme="minorHAnsi" w:cstheme="minorHAnsi"/>
                <w:bCs/>
                <w:sz w:val="22"/>
                <w:szCs w:val="22"/>
                <w:lang w:val="sv-SE"/>
              </w:rPr>
              <w:t xml:space="preserve"> Z novo zaposlitvijo operacija podpira cilj strategije saj ustvarja nova delovna mesta hkrati pa ohranja delovna mesta v okolju izvajanja operacije. To zagotavlja nadaljevanje ribogojske dejavnosti v podjetju in posavski regiji. </w:t>
            </w:r>
          </w:p>
          <w:p w14:paraId="1BB908C9"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1.2 Krepiti pogoje za rast malih ponudnikov v perspektivnih dejavnostih.</w:t>
            </w:r>
            <w:r w:rsidRPr="006D5C52">
              <w:rPr>
                <w:rFonts w:asciiTheme="minorHAnsi" w:eastAsia="Calibri" w:hAnsiTheme="minorHAnsi" w:cstheme="minorHAnsi"/>
                <w:bCs/>
                <w:sz w:val="22"/>
                <w:szCs w:val="22"/>
                <w:lang w:val="sv-SE"/>
              </w:rPr>
              <w:t xml:space="preserve"> Z investicijo – ureditev namestitvenih zmogljivosti v Tončkovem domu na Lisci (ureditev mansarde) se povečuje dostopnost izobraževalnih, rekreativnih in turističnih vsebin za vse prebivalce območja LAS Posavje. Urejene prostore bodo koristile predvsem šole, za izvedbo izobraževalnih dejavnosti na Lisci. Z obnovo objekt pa prostor pridobijo tudi ostali, saj bo objekt namenjen v širše turistične namene, kar pomembno vpliva na razvoj podeželskega območja LAS Posavje. Podeželje s tem oživljamo, delamo privlačno za bivanje ter ga povezujemo z urbanimi središči. </w:t>
            </w:r>
          </w:p>
          <w:p w14:paraId="2492C7AF"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2.1 Aktivirati potenciale za revitalizacijo podeželja</w:t>
            </w:r>
            <w:r w:rsidRPr="006D5C52">
              <w:rPr>
                <w:rFonts w:asciiTheme="minorHAnsi" w:eastAsia="Calibri" w:hAnsiTheme="minorHAnsi" w:cstheme="minorHAnsi"/>
                <w:bCs/>
                <w:sz w:val="22"/>
                <w:szCs w:val="22"/>
                <w:lang w:val="sv-SE"/>
              </w:rPr>
              <w:t xml:space="preserve">: Operacija deluje na podlagi prejšnjih aktivnosti in jih povezuje v celoto ter tako deluje v lokalnem okolju in povezovalno. Operacija na podeželju povezuje ljudi v en produkt, ki temelji na varovanju okolja, razumevanju lokalnega oklja in okolje revitalizira. Operacija ljudmi povezuje z zdravo in predvsem lokalno prehransko verigo, ki temelji na lokalnih virih podeželja. Neposredno operacija deluje tudi na turistično prepoznavnost in ponudbo saj razvoja lokalne nastanitvene zmogljivosti. </w:t>
            </w:r>
          </w:p>
          <w:p w14:paraId="2E03550C"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3.1 Izboljšati stanje okolja za večjo kakovost življenja in dela:</w:t>
            </w:r>
            <w:r w:rsidRPr="006D5C52">
              <w:rPr>
                <w:rFonts w:asciiTheme="minorHAnsi" w:eastAsia="Calibri" w:hAnsiTheme="minorHAnsi" w:cstheme="minorHAnsi"/>
                <w:bCs/>
                <w:sz w:val="22"/>
                <w:szCs w:val="22"/>
                <w:lang w:val="sv-SE"/>
              </w:rPr>
              <w:t xml:space="preserve"> Z nakupom opreme, ki bo avtomatizirala delo na ribogojnici da bo ta hitreje, lažje in učinkovitejše delovala bo dosežen pozitiven učinek na okolje in uvedel inovativen ter bolj avtomatiziran pristop do dela na ribogojnici. Z inovativnimi pristopom in avtomatizacijo dela bo ribogojnica dosegla večjo kakovost vode in kakovosti vzrejnih bazenov. S tem bo posredno mogoče zagotavljali tudi boljše stanje habitata za vzrejo postrvi v ribogojnici. V okviru projekta se bo kupil tudi agregat z nadgradnjo delovanja na odpadno jedilno olje, ki je pomemben okoljski vidik.  </w:t>
            </w:r>
          </w:p>
          <w:p w14:paraId="50E28A58"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3.2 Ohranjanje narave in biotske raznovrstni za trajnostni razvoj območja LAS:</w:t>
            </w:r>
            <w:r w:rsidRPr="006D5C52">
              <w:rPr>
                <w:rFonts w:asciiTheme="minorHAnsi" w:eastAsia="Calibri" w:hAnsiTheme="minorHAnsi" w:cstheme="minorHAnsi"/>
                <w:bCs/>
                <w:sz w:val="22"/>
                <w:szCs w:val="22"/>
                <w:lang w:val="sv-SE"/>
              </w:rPr>
              <w:t xml:space="preserve"> Z operacijo prispevamo k doseganju cilja ohranjanja naravne in biotske raznovrstnosti za trajnostni razvoj območja LAS. Z razvojem novih programov povečujemo sinergijo med ohranjanjem narave in vključevanjem narave kot potenciala za gospodarski razvoj območja. Organizacija in izvedba kulinarične delavnice z animacijo na Lisci za otroke 6-ih posavskih šol. Prednostno je šolskim skupinam namenjena tudi naložba – ureditev namestitvenih kapacitet na Lisci, ki jih bodo po vzpostavitvi lahko za različne programske aktivnosti koristile Posavske in tudi druge šole.</w:t>
            </w:r>
          </w:p>
          <w:p w14:paraId="1DE23BC5" w14:textId="77777777" w:rsidR="006D5C52" w:rsidRPr="006D5C52" w:rsidRDefault="006D5C52" w:rsidP="00AA30DE">
            <w:pPr>
              <w:pStyle w:val="Odstavekseznama"/>
              <w:numPr>
                <w:ilvl w:val="0"/>
                <w:numId w:val="5"/>
              </w:numPr>
              <w:spacing w:after="0" w:line="240" w:lineRule="auto"/>
              <w:rPr>
                <w:rFonts w:asciiTheme="minorHAnsi" w:eastAsia="Calibri" w:hAnsiTheme="minorHAnsi" w:cstheme="minorHAnsi"/>
                <w:bCs/>
                <w:sz w:val="22"/>
                <w:szCs w:val="22"/>
                <w:lang w:val="sv-SE"/>
              </w:rPr>
            </w:pPr>
            <w:r w:rsidRPr="006D5C52">
              <w:rPr>
                <w:rFonts w:asciiTheme="minorHAnsi" w:eastAsia="Calibri" w:hAnsiTheme="minorHAnsi" w:cstheme="minorHAnsi"/>
                <w:b/>
                <w:sz w:val="22"/>
                <w:szCs w:val="22"/>
                <w:lang w:val="sv-SE"/>
              </w:rPr>
              <w:t>Cilj 4.1 Izboljšati pogoje za vključenost ranljivih ciljnih skupin v družbo</w:t>
            </w:r>
            <w:r w:rsidRPr="006D5C52">
              <w:rPr>
                <w:rFonts w:asciiTheme="minorHAnsi" w:eastAsia="Calibri" w:hAnsiTheme="minorHAnsi" w:cstheme="minorHAnsi"/>
                <w:bCs/>
                <w:sz w:val="22"/>
                <w:szCs w:val="22"/>
                <w:lang w:val="sv-SE"/>
              </w:rPr>
              <w:t>: Z operacijo omogočamo boljše vključevanje vsaj štirih ranljivih ciljnih skupin mladih, starejših, žensk in invalidov. Z novimi programi ustvarjamo močnejše podporno okolje za aktiviranje različnih skupin prebivalcev in njihovo aktivno vključenost v družbo. Z novo ponudbo krepimo pogoje za večje zadovoljstvo prebivalcev in dvig kakovosti življenja.  Prednostno pa je naložba namenjena tudi starejšim in invalidom. Skupina OZARA bo v projektu koristila nove namestitvene kapacitete. Skupina VDC pa se bo na Lisci udeležila kulinarične delavnice in animacije. Vse skupine bodo obiskale in si ogledale delovanje ribogojnice.</w:t>
            </w:r>
          </w:p>
        </w:tc>
      </w:tr>
    </w:tbl>
    <w:p w14:paraId="41C7E01D" w14:textId="77777777" w:rsidR="006D5C52" w:rsidRDefault="006D5C52" w:rsidP="006D5C52">
      <w:pPr>
        <w:spacing w:after="0" w:line="240" w:lineRule="auto"/>
        <w:contextualSpacing/>
        <w:jc w:val="both"/>
        <w:rPr>
          <w:rFonts w:asciiTheme="minorHAnsi" w:eastAsia="Times New Roman" w:hAnsiTheme="minorHAnsi" w:cstheme="minorHAnsi"/>
          <w:b/>
          <w:bCs/>
          <w:sz w:val="22"/>
          <w:szCs w:val="22"/>
          <w:lang w:eastAsia="sl-SI"/>
        </w:rPr>
      </w:pPr>
    </w:p>
    <w:p w14:paraId="2BED89D5" w14:textId="63BFEE1C" w:rsidR="006D5C52" w:rsidRDefault="006D5C52" w:rsidP="006D5C52">
      <w:pPr>
        <w:spacing w:after="0" w:line="240" w:lineRule="auto"/>
        <w:contextualSpacing/>
        <w:jc w:val="both"/>
        <w:rPr>
          <w:rFonts w:asciiTheme="minorHAnsi" w:eastAsia="Times New Roman" w:hAnsiTheme="minorHAnsi" w:cstheme="minorHAnsi"/>
          <w:b/>
          <w:bCs/>
          <w:sz w:val="22"/>
          <w:szCs w:val="22"/>
          <w:lang w:eastAsia="sl-SI"/>
        </w:rPr>
      </w:pPr>
    </w:p>
    <w:p w14:paraId="551E8382" w14:textId="77777777" w:rsidR="00A6707E" w:rsidRDefault="00A6707E" w:rsidP="006D5C52">
      <w:pPr>
        <w:spacing w:after="0" w:line="240" w:lineRule="auto"/>
        <w:contextualSpacing/>
        <w:jc w:val="both"/>
        <w:rPr>
          <w:rFonts w:asciiTheme="minorHAnsi" w:eastAsia="Times New Roman" w:hAnsiTheme="minorHAnsi" w:cstheme="minorHAnsi"/>
          <w:b/>
          <w:bCs/>
          <w:sz w:val="22"/>
          <w:szCs w:val="22"/>
          <w:lang w:eastAsia="sl-SI"/>
        </w:rPr>
      </w:pPr>
    </w:p>
    <w:p w14:paraId="52CD8D4A" w14:textId="77777777" w:rsidR="006D5C52" w:rsidRPr="006D5C52" w:rsidRDefault="006D5C52" w:rsidP="006D5C52">
      <w:pPr>
        <w:spacing w:after="0" w:line="240" w:lineRule="auto"/>
        <w:contextualSpacing/>
        <w:jc w:val="both"/>
        <w:rPr>
          <w:rFonts w:asciiTheme="minorHAnsi" w:eastAsia="Times New Roman" w:hAnsiTheme="minorHAnsi" w:cstheme="minorHAnsi"/>
          <w:b/>
          <w:bCs/>
          <w:sz w:val="22"/>
          <w:szCs w:val="22"/>
          <w:lang w:eastAsia="sl-SI"/>
        </w:rPr>
      </w:pPr>
    </w:p>
    <w:p w14:paraId="32B232B7" w14:textId="77777777" w:rsidR="006D5C52" w:rsidRPr="006D5C52" w:rsidRDefault="006D5C52" w:rsidP="006D5C52">
      <w:pPr>
        <w:pStyle w:val="Odstavekseznama"/>
        <w:numPr>
          <w:ilvl w:val="0"/>
          <w:numId w:val="1"/>
        </w:numPr>
        <w:spacing w:after="0" w:line="240" w:lineRule="auto"/>
        <w:jc w:val="both"/>
        <w:rPr>
          <w:rFonts w:asciiTheme="minorHAnsi" w:eastAsia="Times New Roman" w:hAnsiTheme="minorHAnsi" w:cstheme="minorHAnsi"/>
          <w:b/>
          <w:sz w:val="22"/>
          <w:szCs w:val="22"/>
          <w:lang w:eastAsia="sl-SI"/>
        </w:rPr>
      </w:pPr>
      <w:r w:rsidRPr="006D5C52">
        <w:rPr>
          <w:rFonts w:asciiTheme="minorHAnsi" w:eastAsia="Times New Roman" w:hAnsiTheme="minorHAnsi" w:cstheme="minorHAnsi"/>
          <w:b/>
          <w:bCs/>
          <w:sz w:val="22"/>
          <w:szCs w:val="22"/>
          <w:lang w:eastAsia="sl-SI"/>
        </w:rPr>
        <w:t>Kazalniki</w:t>
      </w:r>
    </w:p>
    <w:tbl>
      <w:tblPr>
        <w:tblW w:w="9793" w:type="dxa"/>
        <w:tblInd w:w="58" w:type="dxa"/>
        <w:tblCellMar>
          <w:left w:w="70" w:type="dxa"/>
          <w:right w:w="70" w:type="dxa"/>
        </w:tblCellMar>
        <w:tblLook w:val="04A0" w:firstRow="1" w:lastRow="0" w:firstColumn="1" w:lastColumn="0" w:noHBand="0" w:noVBand="1"/>
      </w:tblPr>
      <w:tblGrid>
        <w:gridCol w:w="2914"/>
        <w:gridCol w:w="3544"/>
        <w:gridCol w:w="3335"/>
      </w:tblGrid>
      <w:tr w:rsidR="006D5C52" w:rsidRPr="006D5C52" w14:paraId="55E437F0" w14:textId="77777777" w:rsidTr="00AB1840">
        <w:trPr>
          <w:trHeight w:val="312"/>
        </w:trPr>
        <w:tc>
          <w:tcPr>
            <w:tcW w:w="2914" w:type="dxa"/>
            <w:tcBorders>
              <w:top w:val="single" w:sz="4" w:space="0" w:color="auto"/>
              <w:left w:val="single" w:sz="4" w:space="0" w:color="auto"/>
              <w:bottom w:val="single" w:sz="4" w:space="0" w:color="auto"/>
              <w:right w:val="single" w:sz="4" w:space="0" w:color="auto"/>
            </w:tcBorders>
            <w:shd w:val="clear" w:color="000000" w:fill="D8D8D8"/>
            <w:vAlign w:val="bottom"/>
            <w:hideMark/>
          </w:tcPr>
          <w:p w14:paraId="1B8D8703" w14:textId="77777777" w:rsidR="006D5C52" w:rsidRPr="006D5C52" w:rsidRDefault="006D5C52" w:rsidP="006D5C52">
            <w:pPr>
              <w:spacing w:after="0" w:line="240" w:lineRule="auto"/>
              <w:jc w:val="center"/>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lastRenderedPageBreak/>
              <w:t>Cilj</w:t>
            </w:r>
          </w:p>
        </w:tc>
        <w:tc>
          <w:tcPr>
            <w:tcW w:w="3544" w:type="dxa"/>
            <w:tcBorders>
              <w:top w:val="single" w:sz="4" w:space="0" w:color="auto"/>
              <w:left w:val="nil"/>
              <w:bottom w:val="single" w:sz="4" w:space="0" w:color="auto"/>
              <w:right w:val="single" w:sz="4" w:space="0" w:color="auto"/>
            </w:tcBorders>
            <w:shd w:val="clear" w:color="000000" w:fill="D8D8D8"/>
            <w:vAlign w:val="bottom"/>
            <w:hideMark/>
          </w:tcPr>
          <w:p w14:paraId="1F812C9F" w14:textId="77777777" w:rsidR="006D5C52" w:rsidRPr="006D5C52" w:rsidRDefault="006D5C52" w:rsidP="006D5C52">
            <w:pPr>
              <w:spacing w:after="0" w:line="240" w:lineRule="auto"/>
              <w:jc w:val="center"/>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Kazalnik</w:t>
            </w:r>
          </w:p>
        </w:tc>
        <w:tc>
          <w:tcPr>
            <w:tcW w:w="3335" w:type="dxa"/>
            <w:tcBorders>
              <w:top w:val="single" w:sz="4" w:space="0" w:color="auto"/>
              <w:left w:val="nil"/>
              <w:bottom w:val="single" w:sz="4" w:space="0" w:color="auto"/>
              <w:right w:val="single" w:sz="4" w:space="0" w:color="auto"/>
            </w:tcBorders>
            <w:shd w:val="clear" w:color="000000" w:fill="D8D8D8"/>
            <w:vAlign w:val="bottom"/>
            <w:hideMark/>
          </w:tcPr>
          <w:p w14:paraId="3999A1E2"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Število</w:t>
            </w:r>
          </w:p>
        </w:tc>
      </w:tr>
      <w:tr w:rsidR="006D5C52" w:rsidRPr="006D5C52" w14:paraId="48B22536" w14:textId="77777777" w:rsidTr="00AB1840">
        <w:trPr>
          <w:trHeight w:val="300"/>
        </w:trPr>
        <w:tc>
          <w:tcPr>
            <w:tcW w:w="2914" w:type="dxa"/>
            <w:tcBorders>
              <w:top w:val="nil"/>
              <w:left w:val="single" w:sz="4" w:space="0" w:color="auto"/>
              <w:bottom w:val="single" w:sz="4" w:space="0" w:color="auto"/>
              <w:right w:val="single" w:sz="4" w:space="0" w:color="auto"/>
            </w:tcBorders>
            <w:vAlign w:val="center"/>
            <w:hideMark/>
          </w:tcPr>
          <w:p w14:paraId="2F42CE0D"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Cilj 1.1: Ustvariti kakovostna delovna mesta</w:t>
            </w:r>
          </w:p>
        </w:tc>
        <w:tc>
          <w:tcPr>
            <w:tcW w:w="3544" w:type="dxa"/>
            <w:tcBorders>
              <w:top w:val="nil"/>
              <w:left w:val="nil"/>
              <w:bottom w:val="single" w:sz="4" w:space="0" w:color="auto"/>
              <w:right w:val="single" w:sz="4" w:space="0" w:color="auto"/>
            </w:tcBorders>
            <w:shd w:val="clear" w:color="auto" w:fill="auto"/>
            <w:hideMark/>
          </w:tcPr>
          <w:p w14:paraId="30E796B9"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novo ustvarjenih delovnih mest</w:t>
            </w:r>
          </w:p>
        </w:tc>
        <w:tc>
          <w:tcPr>
            <w:tcW w:w="3335" w:type="dxa"/>
            <w:tcBorders>
              <w:top w:val="nil"/>
              <w:left w:val="nil"/>
              <w:bottom w:val="single" w:sz="4" w:space="0" w:color="auto"/>
              <w:right w:val="single" w:sz="4" w:space="0" w:color="auto"/>
            </w:tcBorders>
            <w:shd w:val="clear" w:color="auto" w:fill="auto"/>
            <w:vAlign w:val="bottom"/>
            <w:hideMark/>
          </w:tcPr>
          <w:p w14:paraId="3F8E146B"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1 (nova zaposlitev </w:t>
            </w:r>
            <w:proofErr w:type="spellStart"/>
            <w:r w:rsidRPr="00AB1840">
              <w:rPr>
                <w:rFonts w:asciiTheme="minorHAnsi" w:eastAsia="Calibri" w:hAnsiTheme="minorHAnsi" w:cstheme="minorHAnsi"/>
                <w:b/>
                <w:bCs/>
                <w:color w:val="000000"/>
                <w:sz w:val="22"/>
                <w:szCs w:val="22"/>
              </w:rPr>
              <w:t>Akval</w:t>
            </w:r>
            <w:proofErr w:type="spellEnd"/>
            <w:r w:rsidRPr="00AB1840">
              <w:rPr>
                <w:rFonts w:asciiTheme="minorHAnsi" w:eastAsia="Calibri" w:hAnsiTheme="minorHAnsi" w:cstheme="minorHAnsi"/>
                <w:b/>
                <w:bCs/>
                <w:color w:val="000000"/>
                <w:sz w:val="22"/>
                <w:szCs w:val="22"/>
              </w:rPr>
              <w:t xml:space="preserve"> d.o.o.)</w:t>
            </w:r>
          </w:p>
        </w:tc>
      </w:tr>
      <w:tr w:rsidR="006D5C52" w:rsidRPr="006D5C52" w14:paraId="648B2FC6" w14:textId="77777777" w:rsidTr="00AB1840">
        <w:trPr>
          <w:trHeight w:val="276"/>
        </w:trPr>
        <w:tc>
          <w:tcPr>
            <w:tcW w:w="2914" w:type="dxa"/>
            <w:vMerge w:val="restart"/>
            <w:tcBorders>
              <w:top w:val="nil"/>
              <w:left w:val="single" w:sz="4" w:space="0" w:color="auto"/>
              <w:right w:val="single" w:sz="4" w:space="0" w:color="auto"/>
            </w:tcBorders>
            <w:shd w:val="clear" w:color="auto" w:fill="auto"/>
            <w:vAlign w:val="center"/>
            <w:hideMark/>
          </w:tcPr>
          <w:p w14:paraId="754A685F"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Cilj 1.2: Krepiti pogoje za rast malih ponudnikov v perspektivnih dejavnostih</w:t>
            </w:r>
          </w:p>
        </w:tc>
        <w:tc>
          <w:tcPr>
            <w:tcW w:w="3544" w:type="dxa"/>
            <w:tcBorders>
              <w:top w:val="nil"/>
              <w:left w:val="nil"/>
              <w:bottom w:val="single" w:sz="4" w:space="0" w:color="auto"/>
              <w:right w:val="single" w:sz="4" w:space="0" w:color="auto"/>
            </w:tcBorders>
            <w:shd w:val="clear" w:color="auto" w:fill="auto"/>
            <w:hideMark/>
          </w:tcPr>
          <w:p w14:paraId="429309F6"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novih produktov ali storitev</w:t>
            </w:r>
          </w:p>
        </w:tc>
        <w:tc>
          <w:tcPr>
            <w:tcW w:w="3335" w:type="dxa"/>
            <w:tcBorders>
              <w:top w:val="nil"/>
              <w:left w:val="nil"/>
              <w:bottom w:val="single" w:sz="4" w:space="0" w:color="auto"/>
              <w:right w:val="single" w:sz="4" w:space="0" w:color="auto"/>
            </w:tcBorders>
            <w:shd w:val="clear" w:color="auto" w:fill="auto"/>
            <w:vAlign w:val="bottom"/>
            <w:hideMark/>
          </w:tcPr>
          <w:p w14:paraId="1DF1E92D"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w:t>
            </w:r>
          </w:p>
        </w:tc>
      </w:tr>
      <w:tr w:rsidR="006D5C52" w:rsidRPr="006D5C52" w14:paraId="5728FBD6" w14:textId="77777777" w:rsidTr="00AB1840">
        <w:trPr>
          <w:trHeight w:val="276"/>
        </w:trPr>
        <w:tc>
          <w:tcPr>
            <w:tcW w:w="2914" w:type="dxa"/>
            <w:vMerge/>
            <w:tcBorders>
              <w:left w:val="single" w:sz="4" w:space="0" w:color="auto"/>
              <w:right w:val="single" w:sz="4" w:space="0" w:color="auto"/>
            </w:tcBorders>
            <w:vAlign w:val="center"/>
            <w:hideMark/>
          </w:tcPr>
          <w:p w14:paraId="4AB4A342"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0EE7FD23"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ohranjenih delovnih mest</w:t>
            </w:r>
          </w:p>
        </w:tc>
        <w:tc>
          <w:tcPr>
            <w:tcW w:w="3335" w:type="dxa"/>
            <w:tcBorders>
              <w:top w:val="nil"/>
              <w:left w:val="nil"/>
              <w:bottom w:val="single" w:sz="4" w:space="0" w:color="auto"/>
              <w:right w:val="single" w:sz="4" w:space="0" w:color="auto"/>
            </w:tcBorders>
            <w:shd w:val="clear" w:color="auto" w:fill="auto"/>
            <w:vAlign w:val="bottom"/>
            <w:hideMark/>
          </w:tcPr>
          <w:p w14:paraId="74E6D93D"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r>
      <w:tr w:rsidR="006D5C52" w:rsidRPr="006D5C52" w14:paraId="31F811CD" w14:textId="77777777" w:rsidTr="00AB1840">
        <w:trPr>
          <w:trHeight w:val="276"/>
        </w:trPr>
        <w:tc>
          <w:tcPr>
            <w:tcW w:w="2914" w:type="dxa"/>
            <w:vMerge/>
            <w:tcBorders>
              <w:left w:val="single" w:sz="4" w:space="0" w:color="auto"/>
              <w:right w:val="single" w:sz="4" w:space="0" w:color="auto"/>
            </w:tcBorders>
            <w:vAlign w:val="center"/>
            <w:hideMark/>
          </w:tcPr>
          <w:p w14:paraId="5A521230"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1990A64A"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novoustanovljenih podjetij</w:t>
            </w:r>
          </w:p>
        </w:tc>
        <w:tc>
          <w:tcPr>
            <w:tcW w:w="3335" w:type="dxa"/>
            <w:tcBorders>
              <w:top w:val="nil"/>
              <w:left w:val="nil"/>
              <w:bottom w:val="single" w:sz="4" w:space="0" w:color="auto"/>
              <w:right w:val="single" w:sz="4" w:space="0" w:color="auto"/>
            </w:tcBorders>
            <w:shd w:val="clear" w:color="auto" w:fill="auto"/>
            <w:vAlign w:val="bottom"/>
            <w:hideMark/>
          </w:tcPr>
          <w:p w14:paraId="5D48191B"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r>
      <w:tr w:rsidR="006D5C52" w:rsidRPr="006D5C52" w14:paraId="6984AF3D" w14:textId="77777777" w:rsidTr="00AB1840">
        <w:trPr>
          <w:trHeight w:val="276"/>
        </w:trPr>
        <w:tc>
          <w:tcPr>
            <w:tcW w:w="2914" w:type="dxa"/>
            <w:vMerge/>
            <w:tcBorders>
              <w:left w:val="single" w:sz="4" w:space="0" w:color="auto"/>
              <w:right w:val="single" w:sz="4" w:space="0" w:color="auto"/>
            </w:tcBorders>
            <w:vAlign w:val="center"/>
            <w:hideMark/>
          </w:tcPr>
          <w:p w14:paraId="14CFBC05"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006CB76E"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usposobljenih nosilcev dejavnosti</w:t>
            </w:r>
          </w:p>
        </w:tc>
        <w:tc>
          <w:tcPr>
            <w:tcW w:w="3335" w:type="dxa"/>
            <w:tcBorders>
              <w:top w:val="nil"/>
              <w:left w:val="nil"/>
              <w:bottom w:val="single" w:sz="4" w:space="0" w:color="auto"/>
              <w:right w:val="single" w:sz="4" w:space="0" w:color="auto"/>
            </w:tcBorders>
            <w:shd w:val="clear" w:color="auto" w:fill="auto"/>
            <w:vAlign w:val="bottom"/>
            <w:hideMark/>
          </w:tcPr>
          <w:p w14:paraId="65C59F7F"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r>
      <w:tr w:rsidR="006D5C52" w:rsidRPr="006D5C52" w14:paraId="34EEC560" w14:textId="77777777" w:rsidTr="00AB1840">
        <w:trPr>
          <w:trHeight w:val="276"/>
        </w:trPr>
        <w:tc>
          <w:tcPr>
            <w:tcW w:w="2914" w:type="dxa"/>
            <w:vMerge/>
            <w:tcBorders>
              <w:left w:val="single" w:sz="4" w:space="0" w:color="auto"/>
              <w:bottom w:val="single" w:sz="4" w:space="0" w:color="auto"/>
              <w:right w:val="single" w:sz="4" w:space="0" w:color="auto"/>
            </w:tcBorders>
            <w:vAlign w:val="center"/>
          </w:tcPr>
          <w:p w14:paraId="2243B63E"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tcPr>
          <w:p w14:paraId="1AB31E66"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vzpostavljenih partnerstev</w:t>
            </w:r>
          </w:p>
        </w:tc>
        <w:tc>
          <w:tcPr>
            <w:tcW w:w="3335" w:type="dxa"/>
            <w:tcBorders>
              <w:top w:val="nil"/>
              <w:left w:val="nil"/>
              <w:bottom w:val="single" w:sz="4" w:space="0" w:color="auto"/>
              <w:right w:val="single" w:sz="4" w:space="0" w:color="auto"/>
            </w:tcBorders>
            <w:shd w:val="clear" w:color="auto" w:fill="auto"/>
            <w:vAlign w:val="bottom"/>
          </w:tcPr>
          <w:p w14:paraId="64A1F988"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r>
      <w:tr w:rsidR="006D5C52" w:rsidRPr="006D5C52" w14:paraId="3FAC8FE4" w14:textId="77777777" w:rsidTr="00AB1840">
        <w:trPr>
          <w:trHeight w:val="276"/>
        </w:trPr>
        <w:tc>
          <w:tcPr>
            <w:tcW w:w="2914" w:type="dxa"/>
            <w:vMerge w:val="restart"/>
            <w:tcBorders>
              <w:top w:val="nil"/>
              <w:left w:val="single" w:sz="4" w:space="0" w:color="auto"/>
              <w:right w:val="single" w:sz="4" w:space="0" w:color="auto"/>
            </w:tcBorders>
            <w:shd w:val="clear" w:color="auto" w:fill="auto"/>
            <w:vAlign w:val="center"/>
            <w:hideMark/>
          </w:tcPr>
          <w:p w14:paraId="4716CE17"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Cilj 2.1: Aktivirati potenciale za revitalizacijo podeželja</w:t>
            </w:r>
          </w:p>
        </w:tc>
        <w:tc>
          <w:tcPr>
            <w:tcW w:w="3544" w:type="dxa"/>
            <w:tcBorders>
              <w:top w:val="nil"/>
              <w:left w:val="nil"/>
              <w:bottom w:val="single" w:sz="4" w:space="0" w:color="auto"/>
              <w:right w:val="single" w:sz="4" w:space="0" w:color="auto"/>
            </w:tcBorders>
            <w:shd w:val="clear" w:color="auto" w:fill="auto"/>
            <w:hideMark/>
          </w:tcPr>
          <w:p w14:paraId="50ED1681"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novih programov ali storitev</w:t>
            </w:r>
          </w:p>
        </w:tc>
        <w:tc>
          <w:tcPr>
            <w:tcW w:w="3335" w:type="dxa"/>
            <w:tcBorders>
              <w:top w:val="nil"/>
              <w:left w:val="nil"/>
              <w:bottom w:val="single" w:sz="4" w:space="0" w:color="auto"/>
              <w:right w:val="single" w:sz="4" w:space="0" w:color="auto"/>
            </w:tcBorders>
            <w:shd w:val="clear" w:color="auto" w:fill="auto"/>
            <w:vAlign w:val="bottom"/>
            <w:hideMark/>
          </w:tcPr>
          <w:p w14:paraId="32853E03"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- 2 (programa </w:t>
            </w:r>
          </w:p>
          <w:p w14:paraId="3CA8C930"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(v urejeni mansardi en program za skupine s posebnimi potrebami in en program za šolarje in ostale) </w:t>
            </w:r>
          </w:p>
          <w:p w14:paraId="323B16F2"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- 1 (razstavni prostor in prostor za druženje)</w:t>
            </w:r>
          </w:p>
          <w:p w14:paraId="1FEC19F5"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- 1 (urejene nastanitve - 5 novih sob in samostojni tuš)</w:t>
            </w:r>
          </w:p>
        </w:tc>
      </w:tr>
      <w:tr w:rsidR="006D5C52" w:rsidRPr="006D5C52" w14:paraId="63EB1CED" w14:textId="77777777" w:rsidTr="00AB1840">
        <w:trPr>
          <w:trHeight w:val="276"/>
        </w:trPr>
        <w:tc>
          <w:tcPr>
            <w:tcW w:w="2914" w:type="dxa"/>
            <w:vMerge/>
            <w:tcBorders>
              <w:left w:val="single" w:sz="4" w:space="0" w:color="auto"/>
              <w:right w:val="single" w:sz="4" w:space="0" w:color="auto"/>
            </w:tcBorders>
            <w:vAlign w:val="center"/>
            <w:hideMark/>
          </w:tcPr>
          <w:p w14:paraId="5A18E708"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08640982"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vključenih proizvajalcev</w:t>
            </w:r>
          </w:p>
        </w:tc>
        <w:tc>
          <w:tcPr>
            <w:tcW w:w="3335" w:type="dxa"/>
            <w:tcBorders>
              <w:top w:val="nil"/>
              <w:left w:val="nil"/>
              <w:bottom w:val="single" w:sz="4" w:space="0" w:color="auto"/>
              <w:right w:val="single" w:sz="4" w:space="0" w:color="auto"/>
            </w:tcBorders>
            <w:shd w:val="clear" w:color="auto" w:fill="auto"/>
            <w:vAlign w:val="bottom"/>
            <w:hideMark/>
          </w:tcPr>
          <w:p w14:paraId="00CD6D6A"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1 (Ribogojec </w:t>
            </w:r>
            <w:proofErr w:type="spellStart"/>
            <w:r w:rsidRPr="00AB1840">
              <w:rPr>
                <w:rFonts w:asciiTheme="minorHAnsi" w:eastAsia="Calibri" w:hAnsiTheme="minorHAnsi" w:cstheme="minorHAnsi"/>
                <w:b/>
                <w:bCs/>
                <w:color w:val="000000"/>
                <w:sz w:val="22"/>
                <w:szCs w:val="22"/>
              </w:rPr>
              <w:t>Akval</w:t>
            </w:r>
            <w:proofErr w:type="spellEnd"/>
            <w:r w:rsidRPr="00AB1840">
              <w:rPr>
                <w:rFonts w:asciiTheme="minorHAnsi" w:eastAsia="Calibri" w:hAnsiTheme="minorHAnsi" w:cstheme="minorHAnsi"/>
                <w:b/>
                <w:bCs/>
                <w:color w:val="000000"/>
                <w:sz w:val="22"/>
                <w:szCs w:val="22"/>
              </w:rPr>
              <w:t xml:space="preserve"> d.o.o.)</w:t>
            </w:r>
          </w:p>
        </w:tc>
      </w:tr>
      <w:tr w:rsidR="006D5C52" w:rsidRPr="006D5C52" w14:paraId="7B6797C6" w14:textId="77777777" w:rsidTr="00AB1840">
        <w:trPr>
          <w:trHeight w:val="276"/>
        </w:trPr>
        <w:tc>
          <w:tcPr>
            <w:tcW w:w="2914" w:type="dxa"/>
            <w:vMerge/>
            <w:tcBorders>
              <w:left w:val="single" w:sz="4" w:space="0" w:color="auto"/>
              <w:bottom w:val="single" w:sz="4" w:space="0" w:color="auto"/>
              <w:right w:val="single" w:sz="4" w:space="0" w:color="auto"/>
            </w:tcBorders>
            <w:vAlign w:val="center"/>
          </w:tcPr>
          <w:p w14:paraId="4DC18A63"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tcPr>
          <w:p w14:paraId="14E6D88D"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vključenih prebivalcev</w:t>
            </w:r>
          </w:p>
        </w:tc>
        <w:tc>
          <w:tcPr>
            <w:tcW w:w="3335" w:type="dxa"/>
            <w:tcBorders>
              <w:top w:val="nil"/>
              <w:left w:val="nil"/>
              <w:bottom w:val="single" w:sz="4" w:space="0" w:color="auto"/>
              <w:right w:val="single" w:sz="4" w:space="0" w:color="auto"/>
            </w:tcBorders>
            <w:shd w:val="clear" w:color="auto" w:fill="auto"/>
            <w:vAlign w:val="bottom"/>
          </w:tcPr>
          <w:p w14:paraId="770E51DE"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r>
      <w:tr w:rsidR="006D5C52" w:rsidRPr="006D5C52" w14:paraId="1FB92D5C" w14:textId="77777777" w:rsidTr="00AB1840">
        <w:trPr>
          <w:trHeight w:val="276"/>
        </w:trPr>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503676F2"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xml:space="preserve">Cilj 3.1: Izboljšati stanje okolja za večjo kakovost življenja in dela </w:t>
            </w:r>
          </w:p>
        </w:tc>
        <w:tc>
          <w:tcPr>
            <w:tcW w:w="3544" w:type="dxa"/>
            <w:tcBorders>
              <w:top w:val="nil"/>
              <w:left w:val="nil"/>
              <w:bottom w:val="single" w:sz="4" w:space="0" w:color="auto"/>
              <w:right w:val="single" w:sz="4" w:space="0" w:color="auto"/>
            </w:tcBorders>
            <w:shd w:val="clear" w:color="auto" w:fill="auto"/>
            <w:hideMark/>
          </w:tcPr>
          <w:p w14:paraId="547E1108"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izvedenih ukrepov</w:t>
            </w:r>
          </w:p>
        </w:tc>
        <w:tc>
          <w:tcPr>
            <w:tcW w:w="3335" w:type="dxa"/>
            <w:tcBorders>
              <w:top w:val="nil"/>
              <w:left w:val="nil"/>
              <w:bottom w:val="single" w:sz="4" w:space="0" w:color="auto"/>
              <w:right w:val="single" w:sz="4" w:space="0" w:color="auto"/>
            </w:tcBorders>
            <w:shd w:val="clear" w:color="auto" w:fill="auto"/>
            <w:vAlign w:val="bottom"/>
            <w:hideMark/>
          </w:tcPr>
          <w:p w14:paraId="03604810"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w:t>
            </w:r>
          </w:p>
        </w:tc>
      </w:tr>
      <w:tr w:rsidR="006D5C52" w:rsidRPr="006D5C52" w14:paraId="6AF799F5" w14:textId="77777777" w:rsidTr="00AB1840">
        <w:trPr>
          <w:trHeight w:val="300"/>
        </w:trPr>
        <w:tc>
          <w:tcPr>
            <w:tcW w:w="2914" w:type="dxa"/>
            <w:vMerge/>
            <w:tcBorders>
              <w:top w:val="nil"/>
              <w:left w:val="single" w:sz="4" w:space="0" w:color="auto"/>
              <w:bottom w:val="single" w:sz="4" w:space="0" w:color="auto"/>
              <w:right w:val="single" w:sz="4" w:space="0" w:color="auto"/>
            </w:tcBorders>
            <w:vAlign w:val="center"/>
            <w:hideMark/>
          </w:tcPr>
          <w:p w14:paraId="1E0DE7F5"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tcPr>
          <w:p w14:paraId="16886B10"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Št. novih </w:t>
            </w:r>
            <w:proofErr w:type="spellStart"/>
            <w:r w:rsidRPr="00AB1840">
              <w:rPr>
                <w:rFonts w:asciiTheme="minorHAnsi" w:eastAsia="Calibri" w:hAnsiTheme="minorHAnsi" w:cstheme="minorHAnsi"/>
                <w:b/>
                <w:bCs/>
                <w:color w:val="000000"/>
                <w:sz w:val="22"/>
                <w:szCs w:val="22"/>
              </w:rPr>
              <w:t>okoljskih</w:t>
            </w:r>
            <w:proofErr w:type="spellEnd"/>
            <w:r w:rsidRPr="00AB1840">
              <w:rPr>
                <w:rFonts w:asciiTheme="minorHAnsi" w:eastAsia="Calibri" w:hAnsiTheme="minorHAnsi" w:cstheme="minorHAnsi"/>
                <w:b/>
                <w:bCs/>
                <w:color w:val="000000"/>
                <w:sz w:val="22"/>
                <w:szCs w:val="22"/>
              </w:rPr>
              <w:t xml:space="preserve"> rešitev</w:t>
            </w:r>
          </w:p>
        </w:tc>
        <w:tc>
          <w:tcPr>
            <w:tcW w:w="3335" w:type="dxa"/>
            <w:tcBorders>
              <w:top w:val="nil"/>
              <w:left w:val="nil"/>
              <w:bottom w:val="single" w:sz="4" w:space="0" w:color="auto"/>
              <w:right w:val="single" w:sz="4" w:space="0" w:color="auto"/>
            </w:tcBorders>
            <w:shd w:val="clear" w:color="auto" w:fill="auto"/>
            <w:vAlign w:val="bottom"/>
            <w:hideMark/>
          </w:tcPr>
          <w:p w14:paraId="0A7FFC1D"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2 (agregat z nadgradnjo delovanja na odpadno jedilno olje ter nakup opreme ribogojca za lažje in kvalitetnejše delo)</w:t>
            </w:r>
          </w:p>
        </w:tc>
      </w:tr>
      <w:tr w:rsidR="006D5C52" w:rsidRPr="006D5C52" w14:paraId="08D67DBF" w14:textId="77777777" w:rsidTr="00AB1840">
        <w:trPr>
          <w:trHeight w:val="276"/>
        </w:trPr>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37DA3966"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Cilj 3.2: Ohranjanje narave in biotske raznovrstnosti za trajnostni razvoj območja LAS</w:t>
            </w:r>
          </w:p>
        </w:tc>
        <w:tc>
          <w:tcPr>
            <w:tcW w:w="3544" w:type="dxa"/>
            <w:tcBorders>
              <w:top w:val="nil"/>
              <w:left w:val="nil"/>
              <w:bottom w:val="single" w:sz="4" w:space="0" w:color="auto"/>
              <w:right w:val="single" w:sz="4" w:space="0" w:color="auto"/>
            </w:tcBorders>
            <w:shd w:val="clear" w:color="auto" w:fill="auto"/>
            <w:hideMark/>
          </w:tcPr>
          <w:p w14:paraId="49D8DF63"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Št. izvedenih ukrepov</w:t>
            </w:r>
          </w:p>
        </w:tc>
        <w:tc>
          <w:tcPr>
            <w:tcW w:w="3335" w:type="dxa"/>
            <w:tcBorders>
              <w:top w:val="nil"/>
              <w:left w:val="nil"/>
              <w:bottom w:val="single" w:sz="4" w:space="0" w:color="auto"/>
              <w:right w:val="single" w:sz="4" w:space="0" w:color="auto"/>
            </w:tcBorders>
            <w:shd w:val="clear" w:color="auto" w:fill="auto"/>
            <w:vAlign w:val="bottom"/>
            <w:hideMark/>
          </w:tcPr>
          <w:p w14:paraId="1FFEB0EF"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w:t>
            </w:r>
          </w:p>
        </w:tc>
      </w:tr>
      <w:tr w:rsidR="006D5C52" w:rsidRPr="006D5C52" w14:paraId="4B7E3D0E" w14:textId="77777777" w:rsidTr="00AB1840">
        <w:trPr>
          <w:trHeight w:val="288"/>
        </w:trPr>
        <w:tc>
          <w:tcPr>
            <w:tcW w:w="2914" w:type="dxa"/>
            <w:vMerge/>
            <w:tcBorders>
              <w:top w:val="nil"/>
              <w:left w:val="single" w:sz="4" w:space="0" w:color="auto"/>
              <w:bottom w:val="single" w:sz="4" w:space="0" w:color="auto"/>
              <w:right w:val="single" w:sz="4" w:space="0" w:color="auto"/>
            </w:tcBorders>
            <w:vAlign w:val="center"/>
            <w:hideMark/>
          </w:tcPr>
          <w:p w14:paraId="27A2AF5A"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272DD48E"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novih vsebin in programov</w:t>
            </w:r>
          </w:p>
        </w:tc>
        <w:tc>
          <w:tcPr>
            <w:tcW w:w="3335" w:type="dxa"/>
            <w:tcBorders>
              <w:top w:val="nil"/>
              <w:left w:val="nil"/>
              <w:bottom w:val="single" w:sz="4" w:space="0" w:color="auto"/>
              <w:right w:val="single" w:sz="4" w:space="0" w:color="auto"/>
            </w:tcBorders>
            <w:shd w:val="clear" w:color="auto" w:fill="auto"/>
            <w:vAlign w:val="bottom"/>
            <w:hideMark/>
          </w:tcPr>
          <w:p w14:paraId="244022A8"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3 (kulinarične delavnice, obisk ribogojnice, animacijske delavnice v povezavi s spletno aplikacijo)</w:t>
            </w:r>
          </w:p>
        </w:tc>
      </w:tr>
      <w:tr w:rsidR="006D5C52" w:rsidRPr="006D5C52" w14:paraId="2E88FB61" w14:textId="77777777" w:rsidTr="00AB1840">
        <w:trPr>
          <w:trHeight w:val="300"/>
        </w:trPr>
        <w:tc>
          <w:tcPr>
            <w:tcW w:w="2914" w:type="dxa"/>
            <w:vMerge/>
            <w:tcBorders>
              <w:top w:val="nil"/>
              <w:left w:val="single" w:sz="4" w:space="0" w:color="auto"/>
              <w:bottom w:val="single" w:sz="4" w:space="0" w:color="auto"/>
              <w:right w:val="single" w:sz="4" w:space="0" w:color="auto"/>
            </w:tcBorders>
            <w:vAlign w:val="center"/>
            <w:hideMark/>
          </w:tcPr>
          <w:p w14:paraId="44F91A80"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237A873B"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vključenih v aktivnosti ozaveščanja</w:t>
            </w:r>
          </w:p>
        </w:tc>
        <w:tc>
          <w:tcPr>
            <w:tcW w:w="3335" w:type="dxa"/>
            <w:tcBorders>
              <w:top w:val="nil"/>
              <w:left w:val="nil"/>
              <w:bottom w:val="single" w:sz="4" w:space="0" w:color="auto"/>
              <w:right w:val="single" w:sz="4" w:space="0" w:color="auto"/>
            </w:tcBorders>
            <w:shd w:val="clear" w:color="auto" w:fill="auto"/>
            <w:vAlign w:val="bottom"/>
            <w:hideMark/>
          </w:tcPr>
          <w:p w14:paraId="2EA29709"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30.000 gospodinjstev na območju občin LAS Posavje preko regionalnega časopisa Posavski obzornik</w:t>
            </w:r>
          </w:p>
        </w:tc>
      </w:tr>
      <w:tr w:rsidR="006D5C52" w:rsidRPr="006D5C52" w14:paraId="17CAFE0F" w14:textId="77777777" w:rsidTr="00AB1840">
        <w:trPr>
          <w:trHeight w:val="276"/>
        </w:trPr>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58207A2D" w14:textId="77777777" w:rsidR="006D5C52" w:rsidRPr="006D5C52" w:rsidRDefault="006D5C52" w:rsidP="006D5C52">
            <w:pPr>
              <w:spacing w:after="0" w:line="240" w:lineRule="auto"/>
              <w:rPr>
                <w:rFonts w:asciiTheme="minorHAnsi" w:eastAsia="Calibri" w:hAnsiTheme="minorHAnsi" w:cstheme="minorHAnsi"/>
                <w:color w:val="000000"/>
                <w:sz w:val="22"/>
                <w:szCs w:val="22"/>
              </w:rPr>
            </w:pPr>
            <w:r w:rsidRPr="006D5C52">
              <w:rPr>
                <w:rFonts w:asciiTheme="minorHAnsi" w:eastAsia="Calibri" w:hAnsiTheme="minorHAnsi" w:cstheme="minorHAnsi"/>
                <w:color w:val="000000"/>
                <w:sz w:val="22"/>
                <w:szCs w:val="22"/>
              </w:rPr>
              <w:t xml:space="preserve">Cilj 4.1: Izboljšati pogoje za vključenost ranljivih ciljnih skupin v družbo </w:t>
            </w:r>
          </w:p>
        </w:tc>
        <w:tc>
          <w:tcPr>
            <w:tcW w:w="3544" w:type="dxa"/>
            <w:tcBorders>
              <w:top w:val="nil"/>
              <w:left w:val="nil"/>
              <w:bottom w:val="single" w:sz="4" w:space="0" w:color="auto"/>
              <w:right w:val="single" w:sz="4" w:space="0" w:color="auto"/>
            </w:tcBorders>
            <w:shd w:val="clear" w:color="auto" w:fill="auto"/>
            <w:hideMark/>
          </w:tcPr>
          <w:p w14:paraId="70FBE431"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izboljšanih ali novih programov</w:t>
            </w:r>
          </w:p>
        </w:tc>
        <w:tc>
          <w:tcPr>
            <w:tcW w:w="3335" w:type="dxa"/>
            <w:tcBorders>
              <w:top w:val="nil"/>
              <w:left w:val="nil"/>
              <w:bottom w:val="single" w:sz="4" w:space="0" w:color="auto"/>
              <w:right w:val="single" w:sz="4" w:space="0" w:color="auto"/>
            </w:tcBorders>
            <w:shd w:val="clear" w:color="auto" w:fill="auto"/>
            <w:vAlign w:val="bottom"/>
            <w:hideMark/>
          </w:tcPr>
          <w:p w14:paraId="0A6E0F76"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1 (spletna aplikacija za interaktivno iskanje zakladov)</w:t>
            </w:r>
          </w:p>
          <w:p w14:paraId="3B53C575"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1 (program celodnevne delavnice za starejše, kjer je vključena tudi nastanitev)</w:t>
            </w:r>
          </w:p>
        </w:tc>
      </w:tr>
      <w:tr w:rsidR="006D5C52" w:rsidRPr="006D5C52" w14:paraId="3FC5AF4F" w14:textId="77777777" w:rsidTr="00AB1840">
        <w:trPr>
          <w:trHeight w:val="276"/>
        </w:trPr>
        <w:tc>
          <w:tcPr>
            <w:tcW w:w="2914" w:type="dxa"/>
            <w:vMerge/>
            <w:tcBorders>
              <w:top w:val="nil"/>
              <w:left w:val="single" w:sz="4" w:space="0" w:color="auto"/>
              <w:bottom w:val="single" w:sz="4" w:space="0" w:color="auto"/>
              <w:right w:val="single" w:sz="4" w:space="0" w:color="auto"/>
            </w:tcBorders>
            <w:vAlign w:val="center"/>
            <w:hideMark/>
          </w:tcPr>
          <w:p w14:paraId="61815625"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39D2BB55"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vključenih iz ranljivih skupin</w:t>
            </w:r>
          </w:p>
        </w:tc>
        <w:tc>
          <w:tcPr>
            <w:tcW w:w="3335" w:type="dxa"/>
            <w:tcBorders>
              <w:top w:val="nil"/>
              <w:left w:val="nil"/>
              <w:bottom w:val="single" w:sz="4" w:space="0" w:color="auto"/>
              <w:right w:val="single" w:sz="4" w:space="0" w:color="auto"/>
            </w:tcBorders>
            <w:shd w:val="clear" w:color="auto" w:fill="auto"/>
            <w:vAlign w:val="bottom"/>
            <w:hideMark/>
          </w:tcPr>
          <w:p w14:paraId="64698950"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180 osnovnošolskih otrok, 60 udeležencev iz VDC in OZARE</w:t>
            </w:r>
          </w:p>
        </w:tc>
      </w:tr>
      <w:tr w:rsidR="006D5C52" w:rsidRPr="006D5C52" w14:paraId="63429EA0" w14:textId="77777777" w:rsidTr="00AB1840">
        <w:trPr>
          <w:trHeight w:val="276"/>
        </w:trPr>
        <w:tc>
          <w:tcPr>
            <w:tcW w:w="2914" w:type="dxa"/>
            <w:vMerge/>
            <w:tcBorders>
              <w:top w:val="nil"/>
              <w:left w:val="single" w:sz="4" w:space="0" w:color="auto"/>
              <w:bottom w:val="single" w:sz="4" w:space="0" w:color="auto"/>
              <w:right w:val="single" w:sz="4" w:space="0" w:color="auto"/>
            </w:tcBorders>
            <w:vAlign w:val="center"/>
            <w:hideMark/>
          </w:tcPr>
          <w:p w14:paraId="1DE33D19" w14:textId="77777777" w:rsidR="006D5C52" w:rsidRPr="006D5C52" w:rsidRDefault="006D5C52" w:rsidP="006D5C52">
            <w:pPr>
              <w:spacing w:after="0" w:line="240" w:lineRule="auto"/>
              <w:rPr>
                <w:rFonts w:asciiTheme="minorHAnsi" w:eastAsia="Calibri" w:hAnsiTheme="minorHAnsi" w:cstheme="minorHAnsi"/>
                <w:color w:val="000000"/>
                <w:sz w:val="22"/>
                <w:szCs w:val="22"/>
              </w:rPr>
            </w:pPr>
          </w:p>
        </w:tc>
        <w:tc>
          <w:tcPr>
            <w:tcW w:w="3544" w:type="dxa"/>
            <w:tcBorders>
              <w:top w:val="nil"/>
              <w:left w:val="nil"/>
              <w:bottom w:val="single" w:sz="4" w:space="0" w:color="auto"/>
              <w:right w:val="single" w:sz="4" w:space="0" w:color="auto"/>
            </w:tcBorders>
            <w:shd w:val="clear" w:color="auto" w:fill="auto"/>
            <w:hideMark/>
          </w:tcPr>
          <w:p w14:paraId="31ABA1EE"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Št. vzpostavljenih partnerstev</w:t>
            </w:r>
          </w:p>
        </w:tc>
        <w:tc>
          <w:tcPr>
            <w:tcW w:w="3335" w:type="dxa"/>
            <w:tcBorders>
              <w:top w:val="nil"/>
              <w:left w:val="nil"/>
              <w:bottom w:val="single" w:sz="4" w:space="0" w:color="auto"/>
              <w:right w:val="single" w:sz="4" w:space="0" w:color="auto"/>
            </w:tcBorders>
            <w:shd w:val="clear" w:color="auto" w:fill="auto"/>
            <w:vAlign w:val="bottom"/>
            <w:hideMark/>
          </w:tcPr>
          <w:p w14:paraId="206FE3A1"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xml:space="preserve">3 </w:t>
            </w:r>
          </w:p>
          <w:p w14:paraId="7F7C6BDB" w14:textId="77777777" w:rsidR="006D5C52" w:rsidRPr="00AB1840" w:rsidRDefault="006D5C52" w:rsidP="006D5C52">
            <w:pPr>
              <w:spacing w:after="0" w:line="240" w:lineRule="auto"/>
              <w:rPr>
                <w:rFonts w:asciiTheme="minorHAnsi" w:eastAsia="Calibri" w:hAnsiTheme="minorHAnsi" w:cstheme="minorHAnsi"/>
                <w:b/>
                <w:bCs/>
                <w:color w:val="000000"/>
                <w:sz w:val="22"/>
                <w:szCs w:val="22"/>
              </w:rPr>
            </w:pPr>
            <w:r w:rsidRPr="00AB1840">
              <w:rPr>
                <w:rFonts w:asciiTheme="minorHAnsi" w:eastAsia="Calibri" w:hAnsiTheme="minorHAnsi" w:cstheme="minorHAnsi"/>
                <w:b/>
                <w:bCs/>
                <w:color w:val="000000"/>
                <w:sz w:val="22"/>
                <w:szCs w:val="22"/>
              </w:rPr>
              <w:t>(- ribogojec , društvo in VDC,           - ribogojec, društvo in Ozara,                  - ribogojec, društvo in šole)</w:t>
            </w:r>
          </w:p>
        </w:tc>
      </w:tr>
    </w:tbl>
    <w:p w14:paraId="0DCC59E3" w14:textId="77777777" w:rsidR="006D5C52" w:rsidRPr="006D5C52" w:rsidRDefault="006D5C52" w:rsidP="00A6707E">
      <w:pPr>
        <w:rPr>
          <w:rFonts w:asciiTheme="minorHAnsi" w:hAnsiTheme="minorHAnsi" w:cstheme="minorHAnsi"/>
          <w:sz w:val="22"/>
          <w:szCs w:val="22"/>
        </w:rPr>
      </w:pPr>
    </w:p>
    <w:sectPr w:rsidR="006D5C52" w:rsidRPr="006D5C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413F" w14:textId="77777777" w:rsidR="00FD15C2" w:rsidRDefault="00FD15C2" w:rsidP="0069643F">
      <w:pPr>
        <w:spacing w:after="0" w:line="240" w:lineRule="auto"/>
      </w:pPr>
      <w:r>
        <w:separator/>
      </w:r>
    </w:p>
  </w:endnote>
  <w:endnote w:type="continuationSeparator" w:id="0">
    <w:p w14:paraId="57F55194" w14:textId="77777777" w:rsidR="00FD15C2" w:rsidRDefault="00FD15C2" w:rsidP="0069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67CA" w14:textId="77777777" w:rsidR="00882F4E" w:rsidRPr="005330A1" w:rsidRDefault="00882F4E" w:rsidP="00882F4E">
    <w:pPr>
      <w:tabs>
        <w:tab w:val="left" w:pos="3420"/>
      </w:tabs>
      <w:spacing w:after="0" w:line="240" w:lineRule="auto"/>
      <w:rPr>
        <w:rFonts w:ascii="Times New Roman" w:hAnsi="Times New Roman" w:cs="Arial"/>
        <w:szCs w:val="22"/>
      </w:rPr>
    </w:pPr>
    <w:bookmarkStart w:id="4" w:name="_Hlk517089744"/>
    <w:r w:rsidRPr="005330A1">
      <w:rPr>
        <w:rFonts w:ascii="Times New Roman" w:hAnsi="Times New Roman" w:cs="Arial"/>
        <w:noProof/>
        <w:szCs w:val="22"/>
        <w:lang w:eastAsia="sl-SI"/>
      </w:rPr>
      <w:drawing>
        <wp:inline distT="0" distB="0" distL="0" distR="0" wp14:anchorId="59206F79" wp14:editId="4C614C8C">
          <wp:extent cx="2486025" cy="647700"/>
          <wp:effectExtent l="0" t="0" r="9525" b="0"/>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783" cy="684633"/>
                  </a:xfrm>
                  <a:prstGeom prst="rect">
                    <a:avLst/>
                  </a:prstGeom>
                  <a:noFill/>
                </pic:spPr>
              </pic:pic>
            </a:graphicData>
          </a:graphic>
        </wp:inline>
      </w:drawing>
    </w:r>
    <w:r w:rsidRPr="005330A1">
      <w:rPr>
        <w:rFonts w:ascii="Times New Roman" w:hAnsi="Times New Roman" w:cs="Arial"/>
        <w:noProof/>
        <w:szCs w:val="22"/>
        <w:lang w:eastAsia="sl-SI"/>
      </w:rPr>
      <w:drawing>
        <wp:inline distT="0" distB="0" distL="0" distR="0" wp14:anchorId="4BC27DA9" wp14:editId="7F5B9E53">
          <wp:extent cx="1657350" cy="542925"/>
          <wp:effectExtent l="0" t="0" r="0" b="9525"/>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341" cy="573060"/>
                  </a:xfrm>
                  <a:prstGeom prst="rect">
                    <a:avLst/>
                  </a:prstGeom>
                  <a:noFill/>
                </pic:spPr>
              </pic:pic>
            </a:graphicData>
          </a:graphic>
        </wp:inline>
      </w:drawing>
    </w:r>
    <w:r w:rsidRPr="005330A1">
      <w:rPr>
        <w:rFonts w:ascii="Times New Roman" w:hAnsi="Times New Roman" w:cs="Arial"/>
        <w:noProof/>
        <w:szCs w:val="22"/>
        <w:lang w:eastAsia="sl-SI"/>
      </w:rPr>
      <w:drawing>
        <wp:inline distT="0" distB="0" distL="0" distR="0" wp14:anchorId="78D5BF80" wp14:editId="3B207A53">
          <wp:extent cx="1552575" cy="712236"/>
          <wp:effectExtent l="0" t="0" r="0" b="0"/>
          <wp:docPr id="47" name="Slika 47" descr="C:\Users\manuelab\AppData\Local\Microsoft\Windows\Temporary Internet Files\Content.Outlook\6VU8UWON\Logo_ESR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ab\AppData\Local\Microsoft\Windows\Temporary Internet Files\Content.Outlook\6VU8UWON\Logo_ESRR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023" cy="783547"/>
                  </a:xfrm>
                  <a:prstGeom prst="rect">
                    <a:avLst/>
                  </a:prstGeom>
                  <a:noFill/>
                  <a:ln>
                    <a:noFill/>
                  </a:ln>
                </pic:spPr>
              </pic:pic>
            </a:graphicData>
          </a:graphic>
        </wp:inline>
      </w:drawing>
    </w:r>
  </w:p>
  <w:bookmarkEnd w:id="4"/>
  <w:p w14:paraId="797BD336" w14:textId="77777777" w:rsidR="00D120AA" w:rsidRDefault="00D120A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29E28" w14:textId="77777777" w:rsidR="00FD15C2" w:rsidRDefault="00FD15C2" w:rsidP="0069643F">
      <w:pPr>
        <w:spacing w:after="0" w:line="240" w:lineRule="auto"/>
      </w:pPr>
      <w:r>
        <w:separator/>
      </w:r>
    </w:p>
  </w:footnote>
  <w:footnote w:type="continuationSeparator" w:id="0">
    <w:p w14:paraId="7A4A5D59" w14:textId="77777777" w:rsidR="00FD15C2" w:rsidRDefault="00FD15C2" w:rsidP="00696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85D79" w14:textId="77777777" w:rsidR="00D120AA" w:rsidRPr="005330A1" w:rsidRDefault="00D120AA" w:rsidP="00D120AA">
    <w:pPr>
      <w:tabs>
        <w:tab w:val="center" w:pos="4536"/>
        <w:tab w:val="right" w:pos="9072"/>
      </w:tabs>
      <w:spacing w:after="0" w:line="240" w:lineRule="auto"/>
      <w:jc w:val="center"/>
      <w:rPr>
        <w:rFonts w:ascii="Times New Roman" w:hAnsi="Times New Roman" w:cs="Arial"/>
        <w:noProof/>
        <w:szCs w:val="22"/>
        <w:lang w:eastAsia="sl-SI"/>
      </w:rPr>
    </w:pPr>
    <w:bookmarkStart w:id="0" w:name="_Hlk517089731"/>
    <w:bookmarkStart w:id="1" w:name="_Hlk517089732"/>
    <w:bookmarkStart w:id="2" w:name="_Hlk517089733"/>
    <w:bookmarkStart w:id="3" w:name="_Hlk517089734"/>
    <w:r w:rsidRPr="005330A1">
      <w:rPr>
        <w:rFonts w:ascii="Times New Roman" w:hAnsi="Times New Roman" w:cs="Arial"/>
        <w:noProof/>
        <w:szCs w:val="22"/>
        <w:lang w:eastAsia="sl-SI"/>
      </w:rPr>
      <w:drawing>
        <wp:inline distT="0" distB="0" distL="0" distR="0" wp14:anchorId="5BE6A2C7" wp14:editId="39FF927F">
          <wp:extent cx="770890" cy="866775"/>
          <wp:effectExtent l="0" t="0" r="0" b="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a:stretch>
                    <a:fillRect/>
                  </a:stretch>
                </pic:blipFill>
                <pic:spPr>
                  <a:xfrm>
                    <a:off x="0" y="0"/>
                    <a:ext cx="782154" cy="879440"/>
                  </a:xfrm>
                  <a:prstGeom prst="rect">
                    <a:avLst/>
                  </a:prstGeom>
                </pic:spPr>
              </pic:pic>
            </a:graphicData>
          </a:graphic>
        </wp:inline>
      </w:drawing>
    </w:r>
    <w:r w:rsidRPr="005330A1">
      <w:rPr>
        <w:rFonts w:ascii="Times New Roman" w:hAnsi="Times New Roman" w:cs="Arial"/>
        <w:noProof/>
        <w:szCs w:val="22"/>
        <w:lang w:eastAsia="sl-SI"/>
      </w:rPr>
      <w:drawing>
        <wp:inline distT="0" distB="0" distL="0" distR="0" wp14:anchorId="1CA3E2B0" wp14:editId="563C3787">
          <wp:extent cx="2636314" cy="713740"/>
          <wp:effectExtent l="0" t="0" r="0" b="0"/>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0181" cy="752690"/>
                  </a:xfrm>
                  <a:prstGeom prst="rect">
                    <a:avLst/>
                  </a:prstGeom>
                  <a:noFill/>
                </pic:spPr>
              </pic:pic>
            </a:graphicData>
          </a:graphic>
        </wp:inline>
      </w:drawing>
    </w:r>
    <w:r>
      <w:rPr>
        <w:rFonts w:ascii="Times New Roman" w:hAnsi="Times New Roman" w:cs="Arial"/>
        <w:noProof/>
        <w:szCs w:val="22"/>
        <w:lang w:eastAsia="sl-SI"/>
      </w:rPr>
      <w:t xml:space="preserve">  </w:t>
    </w:r>
    <w:r w:rsidRPr="005330A1">
      <w:rPr>
        <w:rFonts w:ascii="Times New Roman" w:hAnsi="Times New Roman" w:cs="Arial"/>
        <w:noProof/>
        <w:szCs w:val="22"/>
        <w:lang w:eastAsia="sl-SI"/>
      </w:rPr>
      <w:drawing>
        <wp:inline distT="0" distB="0" distL="0" distR="0" wp14:anchorId="5F2B1BB8" wp14:editId="13D34E58">
          <wp:extent cx="1866900" cy="575945"/>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0692" cy="586370"/>
                  </a:xfrm>
                  <a:prstGeom prst="rect">
                    <a:avLst/>
                  </a:prstGeom>
                  <a:noFill/>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7710"/>
    <w:multiLevelType w:val="hybridMultilevel"/>
    <w:tmpl w:val="219006F8"/>
    <w:lvl w:ilvl="0" w:tplc="B616FDEE">
      <w:start w:val="1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39A06210"/>
    <w:multiLevelType w:val="hybridMultilevel"/>
    <w:tmpl w:val="7E2835DE"/>
    <w:lvl w:ilvl="0" w:tplc="80E08180">
      <w:start w:val="1"/>
      <w:numFmt w:val="bullet"/>
      <w:lvlText w:val="-"/>
      <w:lvlJc w:val="left"/>
      <w:pPr>
        <w:ind w:left="360" w:hanging="360"/>
      </w:pPr>
      <w:rPr>
        <w:rFonts w:ascii="SimSun" w:eastAsia="SimSun" w:hAnsi="SimSun" w:hint="eastAsi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86348A4"/>
    <w:multiLevelType w:val="hybridMultilevel"/>
    <w:tmpl w:val="57AA80FA"/>
    <w:lvl w:ilvl="0" w:tplc="792E56FC">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4A416DB3"/>
    <w:multiLevelType w:val="hybridMultilevel"/>
    <w:tmpl w:val="1BA87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A5632EF"/>
    <w:multiLevelType w:val="hybridMultilevel"/>
    <w:tmpl w:val="1BA87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03040A3"/>
    <w:multiLevelType w:val="hybridMultilevel"/>
    <w:tmpl w:val="0B36809E"/>
    <w:lvl w:ilvl="0" w:tplc="F2A0A1AA">
      <w:start w:val="1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3F"/>
    <w:rsid w:val="000E7962"/>
    <w:rsid w:val="00243C3E"/>
    <w:rsid w:val="003A38CE"/>
    <w:rsid w:val="00563399"/>
    <w:rsid w:val="0069643F"/>
    <w:rsid w:val="006D5C52"/>
    <w:rsid w:val="00745478"/>
    <w:rsid w:val="007C0158"/>
    <w:rsid w:val="00882F4E"/>
    <w:rsid w:val="00A6707E"/>
    <w:rsid w:val="00AB1840"/>
    <w:rsid w:val="00CA69FA"/>
    <w:rsid w:val="00D120AA"/>
    <w:rsid w:val="00D5723D"/>
    <w:rsid w:val="00FD15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5BFE"/>
  <w15:chartTrackingRefBased/>
  <w15:docId w15:val="{0BB84ED0-BC89-4ADF-BFC5-35AB0D11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643F"/>
    <w:pPr>
      <w:spacing w:after="120" w:line="276" w:lineRule="auto"/>
    </w:pPr>
    <w:rPr>
      <w:rFonts w:asciiTheme="majorHAnsi" w:hAnsiTheme="majorHAnsi"/>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643F"/>
    <w:pPr>
      <w:tabs>
        <w:tab w:val="center" w:pos="4536"/>
        <w:tab w:val="right" w:pos="9072"/>
      </w:tabs>
      <w:spacing w:after="0" w:line="240" w:lineRule="auto"/>
    </w:pPr>
  </w:style>
  <w:style w:type="character" w:customStyle="1" w:styleId="GlavaZnak">
    <w:name w:val="Glava Znak"/>
    <w:basedOn w:val="Privzetapisavaodstavka"/>
    <w:link w:val="Glava"/>
    <w:uiPriority w:val="99"/>
    <w:rsid w:val="0069643F"/>
    <w:rPr>
      <w:rFonts w:asciiTheme="majorHAnsi" w:hAnsiTheme="majorHAnsi"/>
      <w:sz w:val="24"/>
      <w:szCs w:val="24"/>
    </w:rPr>
  </w:style>
  <w:style w:type="paragraph" w:styleId="Noga">
    <w:name w:val="footer"/>
    <w:basedOn w:val="Navaden"/>
    <w:link w:val="NogaZnak"/>
    <w:uiPriority w:val="99"/>
    <w:unhideWhenUsed/>
    <w:rsid w:val="0069643F"/>
    <w:pPr>
      <w:tabs>
        <w:tab w:val="center" w:pos="4536"/>
        <w:tab w:val="right" w:pos="9072"/>
      </w:tabs>
      <w:spacing w:after="0" w:line="240" w:lineRule="auto"/>
    </w:pPr>
  </w:style>
  <w:style w:type="character" w:customStyle="1" w:styleId="NogaZnak">
    <w:name w:val="Noga Znak"/>
    <w:basedOn w:val="Privzetapisavaodstavka"/>
    <w:link w:val="Noga"/>
    <w:uiPriority w:val="99"/>
    <w:rsid w:val="0069643F"/>
    <w:rPr>
      <w:rFonts w:asciiTheme="majorHAnsi" w:hAnsiTheme="majorHAnsi"/>
      <w:sz w:val="24"/>
      <w:szCs w:val="24"/>
    </w:rPr>
  </w:style>
  <w:style w:type="paragraph" w:styleId="Odstavekseznama">
    <w:name w:val="List Paragraph"/>
    <w:basedOn w:val="Navaden"/>
    <w:link w:val="OdstavekseznamaZnak"/>
    <w:uiPriority w:val="34"/>
    <w:qFormat/>
    <w:rsid w:val="0069643F"/>
    <w:pPr>
      <w:ind w:left="720"/>
      <w:contextualSpacing/>
    </w:pPr>
  </w:style>
  <w:style w:type="character" w:customStyle="1" w:styleId="OdstavekseznamaZnak">
    <w:name w:val="Odstavek seznama Znak"/>
    <w:link w:val="Odstavekseznama"/>
    <w:uiPriority w:val="34"/>
    <w:locked/>
    <w:rsid w:val="0069643F"/>
    <w:rPr>
      <w:rFonts w:asciiTheme="majorHAnsi" w:hAnsiTheme="majorHAnsi"/>
      <w:sz w:val="24"/>
      <w:szCs w:val="24"/>
    </w:rPr>
  </w:style>
  <w:style w:type="table" w:styleId="Tabelamrea">
    <w:name w:val="Table Grid"/>
    <w:basedOn w:val="Navadnatabela"/>
    <w:uiPriority w:val="39"/>
    <w:rsid w:val="006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C0158"/>
    <w:pPr>
      <w:spacing w:after="0" w:line="240" w:lineRule="auto"/>
    </w:pPr>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6" ma:contentTypeDescription="Ustvari nov dokument." ma:contentTypeScope="" ma:versionID="60a2463cfff6d22c2b0de244ae3935c5">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2a380fcf183f8823ff8951e3e43e37a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693818bf-85e6-4361-b0bc-0b333e2690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b91f82-56c2-4290-b305-22e7c5664127}" ma:internalName="TaxCatchAll" ma:showField="CatchAllData" ma:web="5abfe22c-dc8c-44fc-b1f8-c6706cb28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508ab-49fe-4a40-ba29-f8dca4adf945">
      <Terms xmlns="http://schemas.microsoft.com/office/infopath/2007/PartnerControls"/>
    </lcf76f155ced4ddcb4097134ff3c332f>
    <TaxCatchAll xmlns="5abfe22c-dc8c-44fc-b1f8-c6706cb28fd6" xsi:nil="true"/>
  </documentManagement>
</p:properties>
</file>

<file path=customXml/itemProps1.xml><?xml version="1.0" encoding="utf-8"?>
<ds:datastoreItem xmlns:ds="http://schemas.openxmlformats.org/officeDocument/2006/customXml" ds:itemID="{6ACD5D2F-268E-46B2-AD30-82013409F51A}">
  <ds:schemaRefs>
    <ds:schemaRef ds:uri="http://schemas.microsoft.com/sharepoint/v3/contenttype/forms"/>
  </ds:schemaRefs>
</ds:datastoreItem>
</file>

<file path=customXml/itemProps2.xml><?xml version="1.0" encoding="utf-8"?>
<ds:datastoreItem xmlns:ds="http://schemas.openxmlformats.org/officeDocument/2006/customXml" ds:itemID="{73B84308-A3D6-46A0-A9DF-373576DC79C0}"/>
</file>

<file path=customXml/itemProps3.xml><?xml version="1.0" encoding="utf-8"?>
<ds:datastoreItem xmlns:ds="http://schemas.openxmlformats.org/officeDocument/2006/customXml" ds:itemID="{B12496AB-F467-453A-87D3-6950B73209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1060</Words>
  <Characters>6043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Bojnec</dc:creator>
  <cp:keywords/>
  <dc:description/>
  <cp:lastModifiedBy>Manuela Bojnec</cp:lastModifiedBy>
  <cp:revision>11</cp:revision>
  <dcterms:created xsi:type="dcterms:W3CDTF">2020-07-24T16:06:00Z</dcterms:created>
  <dcterms:modified xsi:type="dcterms:W3CDTF">2020-07-27T12:04:00Z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MediaServiceImageTags">
    <vt:lpwstr/>
  </property>
</Properties>
</file>